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line="360" w:lineRule="auto"/>
        <w:jc w:val="center"/>
        <w:rPr>
          <w:rFonts w:ascii="黑体" w:hAnsi="黑体" w:eastAsia="黑体"/>
          <w:sz w:val="36"/>
          <w:szCs w:val="36"/>
        </w:rPr>
      </w:pPr>
      <w:r>
        <w:rPr>
          <w:rFonts w:hint="eastAsia" w:ascii="黑体" w:hAnsi="黑体" w:eastAsia="黑体"/>
          <w:sz w:val="36"/>
          <w:szCs w:val="36"/>
        </w:rPr>
        <w:t>艺术设计专业（普招）人才培养方案</w:t>
      </w: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艺术设计专业人才培养方案是艺术设计专业的基本教学文件，适用于本校高等职业教育（专科）</w:t>
      </w:r>
      <w:r>
        <w:rPr>
          <w:rFonts w:hint="eastAsia" w:ascii="宋体" w:hAnsi="宋体" w:eastAsia="宋体" w:cs="宋体"/>
          <w:sz w:val="24"/>
          <w:szCs w:val="24"/>
          <w:lang w:eastAsia="zh-CN"/>
        </w:rPr>
        <w:t>艺术设计</w:t>
      </w:r>
      <w:r>
        <w:rPr>
          <w:rFonts w:hint="eastAsia" w:ascii="宋体" w:hAnsi="宋体" w:eastAsia="宋体" w:cs="宋体"/>
          <w:sz w:val="24"/>
          <w:szCs w:val="24"/>
        </w:rPr>
        <w:t>专业。它是</w:t>
      </w:r>
      <w:r>
        <w:rPr>
          <w:rFonts w:hint="eastAsia" w:ascii="宋体" w:hAnsi="宋体" w:eastAsia="宋体" w:cs="宋体"/>
          <w:sz w:val="24"/>
          <w:szCs w:val="24"/>
          <w:lang w:eastAsia="zh-CN"/>
        </w:rPr>
        <w:t>艺术设计</w:t>
      </w:r>
      <w:r>
        <w:rPr>
          <w:rFonts w:hint="eastAsia" w:ascii="宋体" w:hAnsi="宋体" w:eastAsia="宋体" w:cs="宋体"/>
          <w:sz w:val="24"/>
          <w:szCs w:val="24"/>
        </w:rPr>
        <w:t xml:space="preserve">专业组织开展专业教学活动、实施专业人才培养、进行专业建设和开展质量评价的基本依据。 </w:t>
      </w: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本方案的制定依据教育部《高等职业学校专业教学标准：文化艺术大类》，由</w:t>
      </w:r>
      <w:r>
        <w:rPr>
          <w:rFonts w:hint="eastAsia" w:ascii="宋体" w:hAnsi="宋体" w:eastAsia="宋体" w:cs="宋体"/>
          <w:sz w:val="24"/>
          <w:szCs w:val="24"/>
          <w:lang w:eastAsia="zh-CN"/>
        </w:rPr>
        <w:t>艺术设计</w:t>
      </w:r>
      <w:r>
        <w:rPr>
          <w:rFonts w:hint="eastAsia" w:ascii="宋体" w:hAnsi="宋体" w:eastAsia="宋体" w:cs="宋体"/>
          <w:sz w:val="24"/>
          <w:szCs w:val="24"/>
        </w:rPr>
        <w:t>专业教学团队起草、系主任审核、专业建设指导委员会论证，并经学校教学工作委员会审核和学校院长办公会审定后发布实施。</w:t>
      </w:r>
    </w:p>
    <w:p>
      <w:pPr>
        <w:adjustRightInd w:val="0"/>
        <w:snapToGrid w:val="0"/>
        <w:spacing w:line="240" w:lineRule="auto"/>
        <w:ind w:firstLine="480"/>
        <w:rPr>
          <w:rFonts w:hint="eastAsia" w:ascii="宋体" w:hAnsi="宋体" w:eastAsia="宋体" w:cs="宋体"/>
          <w:b/>
          <w:sz w:val="24"/>
          <w:szCs w:val="24"/>
        </w:rPr>
      </w:pPr>
      <w:r>
        <w:rPr>
          <w:rFonts w:hint="eastAsia" w:ascii="宋体" w:hAnsi="宋体" w:eastAsia="宋体" w:cs="宋体"/>
          <w:b/>
          <w:sz w:val="24"/>
          <w:szCs w:val="24"/>
        </w:rPr>
        <w:t>一、专业名称（专业代码）</w:t>
      </w:r>
    </w:p>
    <w:p>
      <w:pPr>
        <w:adjustRightInd w:val="0"/>
        <w:snapToGrid w:val="0"/>
        <w:spacing w:line="240" w:lineRule="auto"/>
        <w:ind w:left="480"/>
        <w:rPr>
          <w:rFonts w:hint="eastAsia" w:ascii="宋体" w:hAnsi="宋体" w:eastAsia="宋体" w:cs="宋体"/>
          <w:sz w:val="24"/>
          <w:szCs w:val="24"/>
        </w:rPr>
      </w:pPr>
      <w:r>
        <w:rPr>
          <w:rFonts w:hint="eastAsia" w:ascii="宋体" w:hAnsi="宋体" w:eastAsia="宋体" w:cs="宋体"/>
          <w:sz w:val="24"/>
          <w:szCs w:val="24"/>
        </w:rPr>
        <w:t>艺术设计（</w:t>
      </w:r>
      <w:r>
        <w:rPr>
          <w:rFonts w:hint="eastAsia" w:ascii="宋体" w:hAnsi="宋体" w:cs="宋体"/>
          <w:sz w:val="24"/>
          <w:szCs w:val="24"/>
          <w:lang w:val="en-US" w:eastAsia="zh-CN"/>
        </w:rPr>
        <w:t>550101</w:t>
      </w:r>
      <w:r>
        <w:rPr>
          <w:rFonts w:hint="eastAsia" w:ascii="宋体" w:hAnsi="宋体" w:eastAsia="宋体" w:cs="宋体"/>
          <w:sz w:val="24"/>
          <w:szCs w:val="24"/>
        </w:rPr>
        <w:t>）</w:t>
      </w:r>
    </w:p>
    <w:p>
      <w:pPr>
        <w:numPr>
          <w:ilvl w:val="0"/>
          <w:numId w:val="1"/>
        </w:numPr>
        <w:adjustRightInd w:val="0"/>
        <w:snapToGrid w:val="0"/>
        <w:spacing w:line="240" w:lineRule="auto"/>
        <w:ind w:left="480"/>
        <w:rPr>
          <w:rFonts w:hint="eastAsia" w:ascii="宋体" w:hAnsi="宋体" w:eastAsia="宋体" w:cs="宋体"/>
          <w:b/>
          <w:color w:val="000000"/>
          <w:sz w:val="24"/>
          <w:szCs w:val="24"/>
        </w:rPr>
      </w:pPr>
      <w:r>
        <w:rPr>
          <w:rFonts w:hint="eastAsia" w:ascii="宋体" w:hAnsi="宋体" w:eastAsia="宋体" w:cs="宋体"/>
          <w:b/>
          <w:color w:val="000000"/>
          <w:sz w:val="24"/>
          <w:szCs w:val="24"/>
        </w:rPr>
        <w:t>入学要求</w:t>
      </w:r>
    </w:p>
    <w:p>
      <w:pPr>
        <w:numPr>
          <w:ilvl w:val="0"/>
          <w:numId w:val="0"/>
        </w:num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高中阶段教育毕业生或具有同等学力者。</w:t>
      </w:r>
    </w:p>
    <w:p>
      <w:pPr>
        <w:numPr>
          <w:ilvl w:val="0"/>
          <w:numId w:val="0"/>
        </w:numPr>
        <w:adjustRightInd w:val="0"/>
        <w:snapToGrid w:val="0"/>
        <w:spacing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三、修业年限</w:t>
      </w: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以3年为主，按照学校学分制管理规定实行弹性学习年限。</w:t>
      </w:r>
    </w:p>
    <w:p>
      <w:pPr>
        <w:overflowPunct w:val="0"/>
        <w:adjustRightInd w:val="0"/>
        <w:spacing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四、职业面向与岗位分析</w:t>
      </w:r>
    </w:p>
    <w:p>
      <w:pPr>
        <w:spacing w:afterLines="5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（一）职业面向</w:t>
      </w:r>
    </w:p>
    <w:p>
      <w:pPr>
        <w:adjustRightInd w:val="0"/>
        <w:snapToGrid w:val="0"/>
        <w:spacing w:line="240" w:lineRule="auto"/>
        <w:ind w:firstLine="482" w:firstLineChars="200"/>
        <w:jc w:val="center"/>
        <w:rPr>
          <w:rFonts w:hint="eastAsia" w:ascii="宋体" w:hAnsi="宋体" w:eastAsia="宋体" w:cs="宋体"/>
          <w:b/>
          <w:bCs w:val="0"/>
          <w:sz w:val="24"/>
          <w:szCs w:val="24"/>
        </w:rPr>
      </w:pPr>
      <w:r>
        <w:rPr>
          <w:rFonts w:hint="eastAsia" w:ascii="宋体" w:hAnsi="宋体" w:eastAsia="宋体" w:cs="宋体"/>
          <w:b/>
          <w:bCs w:val="0"/>
          <w:sz w:val="24"/>
          <w:szCs w:val="24"/>
        </w:rPr>
        <w:t xml:space="preserve">表1    </w:t>
      </w:r>
      <w:r>
        <w:rPr>
          <w:rFonts w:hint="eastAsia" w:ascii="宋体" w:hAnsi="宋体" w:eastAsia="宋体" w:cs="宋体"/>
          <w:b/>
          <w:bCs w:val="0"/>
          <w:sz w:val="24"/>
          <w:szCs w:val="24"/>
          <w:lang w:eastAsia="zh-CN"/>
        </w:rPr>
        <w:t>艺术设计</w:t>
      </w:r>
      <w:r>
        <w:rPr>
          <w:rFonts w:hint="eastAsia" w:ascii="宋体" w:hAnsi="宋体" w:eastAsia="宋体" w:cs="宋体"/>
          <w:b/>
          <w:bCs w:val="0"/>
          <w:sz w:val="24"/>
          <w:szCs w:val="24"/>
        </w:rPr>
        <w:t>专业职业面向</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54"/>
        <w:gridCol w:w="1530"/>
        <w:gridCol w:w="1327"/>
        <w:gridCol w:w="1394"/>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111"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所属专业</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大类</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Cs/>
                <w:kern w:val="0"/>
                <w:sz w:val="24"/>
                <w:szCs w:val="24"/>
              </w:rPr>
              <w:t>（代码）</w:t>
            </w:r>
          </w:p>
        </w:tc>
        <w:tc>
          <w:tcPr>
            <w:tcW w:w="1154"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所属</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专业类</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Cs/>
                <w:kern w:val="0"/>
                <w:sz w:val="24"/>
                <w:szCs w:val="24"/>
              </w:rPr>
              <w:t>（代码）</w:t>
            </w:r>
          </w:p>
        </w:tc>
        <w:tc>
          <w:tcPr>
            <w:tcW w:w="1530"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对应行业</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Cs/>
                <w:kern w:val="0"/>
                <w:sz w:val="24"/>
                <w:szCs w:val="24"/>
              </w:rPr>
              <w:t>（代码）</w:t>
            </w:r>
          </w:p>
        </w:tc>
        <w:tc>
          <w:tcPr>
            <w:tcW w:w="1327"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主要职业</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类别</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Cs/>
                <w:kern w:val="0"/>
                <w:sz w:val="24"/>
                <w:szCs w:val="24"/>
              </w:rPr>
              <w:t>（代码）</w:t>
            </w:r>
          </w:p>
        </w:tc>
        <w:tc>
          <w:tcPr>
            <w:tcW w:w="1394" w:type="dxa"/>
            <w:vAlign w:val="center"/>
          </w:tcPr>
          <w:p>
            <w:pPr>
              <w:adjustRightInd w:val="0"/>
              <w:snapToGrid w:val="0"/>
              <w:spacing w:line="240" w:lineRule="auto"/>
              <w:jc w:val="center"/>
              <w:rPr>
                <w:rFonts w:hint="eastAsia" w:ascii="宋体" w:hAnsi="宋体" w:eastAsia="宋体" w:cs="宋体"/>
                <w:b/>
                <w:sz w:val="24"/>
                <w:szCs w:val="24"/>
              </w:rPr>
            </w:pP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主要岗位类别(或技术领域)</w:t>
            </w:r>
          </w:p>
          <w:p>
            <w:pPr>
              <w:adjustRightInd w:val="0"/>
              <w:snapToGrid w:val="0"/>
              <w:spacing w:line="240" w:lineRule="auto"/>
              <w:jc w:val="center"/>
              <w:rPr>
                <w:rFonts w:hint="eastAsia" w:ascii="宋体" w:hAnsi="宋体" w:eastAsia="宋体" w:cs="宋体"/>
                <w:b/>
                <w:sz w:val="24"/>
                <w:szCs w:val="24"/>
              </w:rPr>
            </w:pPr>
          </w:p>
        </w:tc>
        <w:tc>
          <w:tcPr>
            <w:tcW w:w="1780"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职业资格</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111" w:type="dxa"/>
            <w:vMerge w:val="restart"/>
            <w:vAlign w:val="center"/>
          </w:tcPr>
          <w:p>
            <w:pPr>
              <w:spacing w:line="240" w:lineRule="auto"/>
              <w:jc w:val="center"/>
              <w:rPr>
                <w:rFonts w:hint="eastAsia" w:ascii="宋体" w:hAnsi="宋体" w:eastAsia="宋体" w:cs="宋体"/>
                <w:sz w:val="24"/>
                <w:szCs w:val="24"/>
              </w:rPr>
            </w:pPr>
            <w:r>
              <w:rPr>
                <w:rFonts w:hint="eastAsia" w:ascii="宋体" w:hAnsi="宋体" w:cs="宋体"/>
                <w:sz w:val="24"/>
                <w:szCs w:val="24"/>
                <w:lang w:val="en-US" w:eastAsia="zh-CN"/>
              </w:rPr>
              <w:t>55</w:t>
            </w:r>
            <w:r>
              <w:rPr>
                <w:rFonts w:hint="eastAsia" w:ascii="宋体" w:hAnsi="宋体" w:eastAsia="宋体" w:cs="宋体"/>
                <w:sz w:val="24"/>
                <w:szCs w:val="24"/>
              </w:rPr>
              <w:t>文化艺术大类</w:t>
            </w:r>
          </w:p>
          <w:p>
            <w:pPr>
              <w:spacing w:line="240" w:lineRule="auto"/>
              <w:jc w:val="center"/>
              <w:rPr>
                <w:rFonts w:hint="eastAsia" w:ascii="宋体" w:hAnsi="宋体" w:eastAsia="宋体" w:cs="宋体"/>
                <w:sz w:val="24"/>
                <w:szCs w:val="24"/>
              </w:rPr>
            </w:pPr>
          </w:p>
        </w:tc>
        <w:tc>
          <w:tcPr>
            <w:tcW w:w="1154" w:type="dxa"/>
            <w:vMerge w:val="restart"/>
            <w:vAlign w:val="center"/>
          </w:tcPr>
          <w:p>
            <w:pPr>
              <w:spacing w:line="240" w:lineRule="auto"/>
              <w:jc w:val="center"/>
              <w:rPr>
                <w:rFonts w:hint="eastAsia" w:ascii="宋体" w:hAnsi="宋体" w:eastAsia="宋体" w:cs="宋体"/>
                <w:sz w:val="24"/>
                <w:szCs w:val="24"/>
              </w:rPr>
            </w:pPr>
            <w:r>
              <w:rPr>
                <w:rFonts w:hint="eastAsia" w:ascii="宋体" w:hAnsi="宋体" w:cs="宋体"/>
                <w:sz w:val="24"/>
                <w:szCs w:val="24"/>
                <w:lang w:val="en-US" w:eastAsia="zh-CN"/>
              </w:rPr>
              <w:t>550101</w:t>
            </w:r>
            <w:bookmarkStart w:id="2" w:name="_GoBack"/>
            <w:bookmarkEnd w:id="2"/>
            <w:r>
              <w:rPr>
                <w:rFonts w:hint="eastAsia" w:ascii="宋体" w:hAnsi="宋体" w:eastAsia="宋体" w:cs="宋体"/>
                <w:sz w:val="24"/>
                <w:szCs w:val="24"/>
              </w:rPr>
              <w:t>艺术设计</w:t>
            </w:r>
          </w:p>
          <w:p>
            <w:pPr>
              <w:spacing w:line="240" w:lineRule="auto"/>
              <w:jc w:val="center"/>
              <w:rPr>
                <w:rFonts w:hint="eastAsia" w:ascii="宋体" w:hAnsi="宋体" w:eastAsia="宋体" w:cs="宋体"/>
                <w:sz w:val="24"/>
                <w:szCs w:val="24"/>
              </w:rPr>
            </w:pPr>
          </w:p>
        </w:tc>
        <w:tc>
          <w:tcPr>
            <w:tcW w:w="1530" w:type="dxa"/>
            <w:vMerge w:val="restart"/>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5010建筑装饰业</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3079园林陈设艺术</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829技能培训</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7491专业化</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设计服务</w:t>
            </w:r>
          </w:p>
          <w:p>
            <w:pPr>
              <w:spacing w:line="240" w:lineRule="auto"/>
              <w:jc w:val="center"/>
              <w:rPr>
                <w:rFonts w:hint="eastAsia" w:ascii="宋体" w:hAnsi="宋体" w:eastAsia="宋体" w:cs="宋体"/>
                <w:sz w:val="24"/>
                <w:szCs w:val="24"/>
              </w:rPr>
            </w:pPr>
          </w:p>
        </w:tc>
        <w:tc>
          <w:tcPr>
            <w:tcW w:w="1327"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家装设计</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人员</w:t>
            </w:r>
          </w:p>
        </w:tc>
        <w:tc>
          <w:tcPr>
            <w:tcW w:w="139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居住空间设计</w:t>
            </w:r>
          </w:p>
        </w:tc>
        <w:tc>
          <w:tcPr>
            <w:tcW w:w="1780"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国际商业美术室内设计师C级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vAlign w:val="center"/>
          </w:tcPr>
          <w:p>
            <w:pPr>
              <w:spacing w:line="240" w:lineRule="auto"/>
              <w:jc w:val="center"/>
              <w:rPr>
                <w:rFonts w:hint="eastAsia" w:ascii="宋体" w:hAnsi="宋体" w:eastAsia="宋体" w:cs="宋体"/>
                <w:sz w:val="24"/>
                <w:szCs w:val="24"/>
              </w:rPr>
            </w:pPr>
          </w:p>
        </w:tc>
        <w:tc>
          <w:tcPr>
            <w:tcW w:w="1154" w:type="dxa"/>
            <w:vMerge w:val="continue"/>
            <w:vAlign w:val="center"/>
          </w:tcPr>
          <w:p>
            <w:pPr>
              <w:spacing w:line="240" w:lineRule="auto"/>
              <w:jc w:val="center"/>
              <w:rPr>
                <w:rFonts w:hint="eastAsia" w:ascii="宋体" w:hAnsi="宋体" w:eastAsia="宋体" w:cs="宋体"/>
                <w:sz w:val="24"/>
                <w:szCs w:val="24"/>
              </w:rPr>
            </w:pPr>
          </w:p>
        </w:tc>
        <w:tc>
          <w:tcPr>
            <w:tcW w:w="1530" w:type="dxa"/>
            <w:vMerge w:val="continue"/>
            <w:vAlign w:val="center"/>
          </w:tcPr>
          <w:p>
            <w:pPr>
              <w:spacing w:line="240" w:lineRule="auto"/>
              <w:jc w:val="center"/>
              <w:rPr>
                <w:rFonts w:hint="eastAsia" w:ascii="宋体" w:hAnsi="宋体" w:eastAsia="宋体" w:cs="宋体"/>
                <w:sz w:val="24"/>
                <w:szCs w:val="24"/>
              </w:rPr>
            </w:pPr>
          </w:p>
        </w:tc>
        <w:tc>
          <w:tcPr>
            <w:tcW w:w="1327"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工装设计</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人员</w:t>
            </w:r>
          </w:p>
        </w:tc>
        <w:tc>
          <w:tcPr>
            <w:tcW w:w="139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商业空间</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设计</w:t>
            </w:r>
          </w:p>
        </w:tc>
        <w:tc>
          <w:tcPr>
            <w:tcW w:w="1780"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国际商业美术室内设计师C级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vAlign w:val="center"/>
          </w:tcPr>
          <w:p>
            <w:pPr>
              <w:spacing w:line="240" w:lineRule="auto"/>
              <w:jc w:val="center"/>
              <w:rPr>
                <w:rFonts w:hint="eastAsia" w:ascii="宋体" w:hAnsi="宋体" w:eastAsia="宋体" w:cs="宋体"/>
                <w:sz w:val="24"/>
                <w:szCs w:val="24"/>
              </w:rPr>
            </w:pPr>
          </w:p>
        </w:tc>
        <w:tc>
          <w:tcPr>
            <w:tcW w:w="1154" w:type="dxa"/>
            <w:vMerge w:val="continue"/>
            <w:vAlign w:val="center"/>
          </w:tcPr>
          <w:p>
            <w:pPr>
              <w:spacing w:line="240" w:lineRule="auto"/>
              <w:jc w:val="center"/>
              <w:rPr>
                <w:rFonts w:hint="eastAsia" w:ascii="宋体" w:hAnsi="宋体" w:eastAsia="宋体" w:cs="宋体"/>
                <w:sz w:val="24"/>
                <w:szCs w:val="24"/>
              </w:rPr>
            </w:pPr>
          </w:p>
        </w:tc>
        <w:tc>
          <w:tcPr>
            <w:tcW w:w="1530" w:type="dxa"/>
            <w:vMerge w:val="continue"/>
          </w:tcPr>
          <w:p>
            <w:pPr>
              <w:spacing w:line="240" w:lineRule="auto"/>
              <w:jc w:val="center"/>
              <w:rPr>
                <w:rFonts w:hint="eastAsia" w:ascii="宋体" w:hAnsi="宋体" w:eastAsia="宋体" w:cs="宋体"/>
                <w:sz w:val="24"/>
                <w:szCs w:val="24"/>
              </w:rPr>
            </w:pPr>
          </w:p>
        </w:tc>
        <w:tc>
          <w:tcPr>
            <w:tcW w:w="1327"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软装设计</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人员</w:t>
            </w:r>
          </w:p>
        </w:tc>
        <w:tc>
          <w:tcPr>
            <w:tcW w:w="1394"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室内陈设</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设计</w:t>
            </w:r>
          </w:p>
        </w:tc>
        <w:tc>
          <w:tcPr>
            <w:tcW w:w="1780"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国际商业美术软装设计师C级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vAlign w:val="center"/>
          </w:tcPr>
          <w:p>
            <w:pPr>
              <w:spacing w:line="240" w:lineRule="auto"/>
              <w:jc w:val="center"/>
              <w:rPr>
                <w:rFonts w:hint="eastAsia" w:ascii="宋体" w:hAnsi="宋体" w:eastAsia="宋体" w:cs="宋体"/>
                <w:sz w:val="24"/>
                <w:szCs w:val="24"/>
              </w:rPr>
            </w:pPr>
          </w:p>
        </w:tc>
        <w:tc>
          <w:tcPr>
            <w:tcW w:w="1154" w:type="dxa"/>
            <w:vMerge w:val="continue"/>
            <w:vAlign w:val="center"/>
          </w:tcPr>
          <w:p>
            <w:pPr>
              <w:spacing w:line="240" w:lineRule="auto"/>
              <w:jc w:val="center"/>
              <w:rPr>
                <w:rFonts w:hint="eastAsia" w:ascii="宋体" w:hAnsi="宋体" w:eastAsia="宋体" w:cs="宋体"/>
                <w:sz w:val="24"/>
                <w:szCs w:val="24"/>
              </w:rPr>
            </w:pPr>
          </w:p>
        </w:tc>
        <w:tc>
          <w:tcPr>
            <w:tcW w:w="1530" w:type="dxa"/>
            <w:vMerge w:val="continue"/>
          </w:tcPr>
          <w:p>
            <w:pPr>
              <w:spacing w:line="240" w:lineRule="auto"/>
              <w:jc w:val="center"/>
              <w:rPr>
                <w:rFonts w:hint="eastAsia" w:ascii="宋体" w:hAnsi="宋体" w:eastAsia="宋体" w:cs="宋体"/>
                <w:sz w:val="24"/>
                <w:szCs w:val="24"/>
              </w:rPr>
            </w:pPr>
          </w:p>
        </w:tc>
        <w:tc>
          <w:tcPr>
            <w:tcW w:w="1327"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家具设计</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人员</w:t>
            </w:r>
          </w:p>
        </w:tc>
        <w:tc>
          <w:tcPr>
            <w:tcW w:w="1394"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家具</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设计</w:t>
            </w:r>
          </w:p>
        </w:tc>
        <w:tc>
          <w:tcPr>
            <w:tcW w:w="1780"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国际商业美术室内设计师C级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vAlign w:val="center"/>
          </w:tcPr>
          <w:p>
            <w:pPr>
              <w:spacing w:line="240" w:lineRule="auto"/>
              <w:jc w:val="center"/>
              <w:rPr>
                <w:rFonts w:hint="eastAsia" w:ascii="宋体" w:hAnsi="宋体" w:eastAsia="宋体" w:cs="宋体"/>
                <w:sz w:val="24"/>
                <w:szCs w:val="24"/>
              </w:rPr>
            </w:pPr>
          </w:p>
        </w:tc>
        <w:tc>
          <w:tcPr>
            <w:tcW w:w="1154" w:type="dxa"/>
            <w:vMerge w:val="continue"/>
            <w:vAlign w:val="center"/>
          </w:tcPr>
          <w:p>
            <w:pPr>
              <w:spacing w:line="240" w:lineRule="auto"/>
              <w:jc w:val="center"/>
              <w:rPr>
                <w:rFonts w:hint="eastAsia" w:ascii="宋体" w:hAnsi="宋体" w:eastAsia="宋体" w:cs="宋体"/>
                <w:sz w:val="24"/>
                <w:szCs w:val="24"/>
              </w:rPr>
            </w:pPr>
          </w:p>
        </w:tc>
        <w:tc>
          <w:tcPr>
            <w:tcW w:w="1530" w:type="dxa"/>
            <w:vMerge w:val="continue"/>
          </w:tcPr>
          <w:p>
            <w:pPr>
              <w:spacing w:line="240" w:lineRule="auto"/>
              <w:jc w:val="center"/>
              <w:rPr>
                <w:rFonts w:hint="eastAsia" w:ascii="宋体" w:hAnsi="宋体" w:eastAsia="宋体" w:cs="宋体"/>
                <w:sz w:val="24"/>
                <w:szCs w:val="24"/>
              </w:rPr>
            </w:pPr>
          </w:p>
        </w:tc>
        <w:tc>
          <w:tcPr>
            <w:tcW w:w="1327"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绘图</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人员</w:t>
            </w:r>
          </w:p>
        </w:tc>
        <w:tc>
          <w:tcPr>
            <w:tcW w:w="1394"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施工图绘制</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效果图绘制</w:t>
            </w:r>
          </w:p>
        </w:tc>
        <w:tc>
          <w:tcPr>
            <w:tcW w:w="1780"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3DS MAX设计证书/初级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tcPr>
          <w:p>
            <w:pPr>
              <w:spacing w:line="240" w:lineRule="auto"/>
              <w:jc w:val="center"/>
              <w:rPr>
                <w:rFonts w:hint="eastAsia" w:ascii="宋体" w:hAnsi="宋体" w:eastAsia="宋体" w:cs="宋体"/>
                <w:sz w:val="24"/>
                <w:szCs w:val="24"/>
              </w:rPr>
            </w:pPr>
          </w:p>
        </w:tc>
        <w:tc>
          <w:tcPr>
            <w:tcW w:w="1154" w:type="dxa"/>
            <w:vMerge w:val="continue"/>
          </w:tcPr>
          <w:p>
            <w:pPr>
              <w:spacing w:line="240" w:lineRule="auto"/>
              <w:jc w:val="center"/>
              <w:rPr>
                <w:rFonts w:hint="eastAsia" w:ascii="宋体" w:hAnsi="宋体" w:eastAsia="宋体" w:cs="宋体"/>
                <w:sz w:val="24"/>
                <w:szCs w:val="24"/>
              </w:rPr>
            </w:pPr>
          </w:p>
        </w:tc>
        <w:tc>
          <w:tcPr>
            <w:tcW w:w="1530" w:type="dxa"/>
            <w:vMerge w:val="continue"/>
          </w:tcPr>
          <w:p>
            <w:pPr>
              <w:spacing w:line="240" w:lineRule="auto"/>
              <w:jc w:val="center"/>
              <w:rPr>
                <w:rFonts w:hint="eastAsia" w:ascii="宋体" w:hAnsi="宋体" w:eastAsia="宋体" w:cs="宋体"/>
                <w:sz w:val="24"/>
                <w:szCs w:val="24"/>
              </w:rPr>
            </w:pPr>
          </w:p>
        </w:tc>
        <w:tc>
          <w:tcPr>
            <w:tcW w:w="1327" w:type="dxa"/>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项目经理</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人员</w:t>
            </w:r>
          </w:p>
        </w:tc>
        <w:tc>
          <w:tcPr>
            <w:tcW w:w="1394" w:type="dxa"/>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项目施工现场管理</w:t>
            </w:r>
          </w:p>
        </w:tc>
        <w:tc>
          <w:tcPr>
            <w:tcW w:w="1780" w:type="dxa"/>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项目管理</w:t>
            </w:r>
          </w:p>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证书</w:t>
            </w:r>
          </w:p>
        </w:tc>
      </w:tr>
    </w:tbl>
    <w:p>
      <w:pPr>
        <w:spacing w:afterLines="50" w:line="240" w:lineRule="auto"/>
        <w:ind w:firstLine="480" w:firstLineChars="200"/>
        <w:rPr>
          <w:rFonts w:hint="eastAsia" w:ascii="宋体" w:hAnsi="宋体" w:eastAsia="宋体" w:cs="宋体"/>
          <w:sz w:val="24"/>
          <w:szCs w:val="24"/>
        </w:rPr>
      </w:pPr>
    </w:p>
    <w:p>
      <w:pPr>
        <w:spacing w:afterLines="5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（二）主要工作岗位分析</w:t>
      </w:r>
    </w:p>
    <w:p>
      <w:pPr>
        <w:spacing w:beforeLines="50" w:afterLines="50" w:line="24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 xml:space="preserve">表2  </w:t>
      </w:r>
      <w:r>
        <w:rPr>
          <w:rFonts w:hint="eastAsia" w:ascii="宋体" w:hAnsi="宋体" w:eastAsia="宋体" w:cs="宋体"/>
          <w:b/>
          <w:bCs w:val="0"/>
          <w:sz w:val="24"/>
          <w:szCs w:val="24"/>
          <w:lang w:eastAsia="zh-CN"/>
        </w:rPr>
        <w:t>艺术设计</w:t>
      </w:r>
      <w:r>
        <w:rPr>
          <w:rFonts w:hint="eastAsia" w:ascii="宋体" w:hAnsi="宋体" w:eastAsia="宋体" w:cs="宋体"/>
          <w:b/>
          <w:bCs w:val="0"/>
          <w:sz w:val="24"/>
          <w:szCs w:val="24"/>
        </w:rPr>
        <w:t>专业主要工作岗位</w:t>
      </w:r>
    </w:p>
    <w:tbl>
      <w:tblPr>
        <w:tblStyle w:val="10"/>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4"/>
        <w:gridCol w:w="1257"/>
        <w:gridCol w:w="1103"/>
        <w:gridCol w:w="1115"/>
        <w:gridCol w:w="4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0" w:hRule="atLeast"/>
          <w:jc w:val="center"/>
        </w:trPr>
        <w:tc>
          <w:tcPr>
            <w:tcW w:w="574" w:type="dxa"/>
            <w:vMerge w:val="restart"/>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257" w:type="dxa"/>
            <w:vMerge w:val="restart"/>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岗位名称</w:t>
            </w:r>
          </w:p>
        </w:tc>
        <w:tc>
          <w:tcPr>
            <w:tcW w:w="2218" w:type="dxa"/>
            <w:gridSpan w:val="2"/>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岗位类别</w:t>
            </w:r>
          </w:p>
        </w:tc>
        <w:tc>
          <w:tcPr>
            <w:tcW w:w="4401" w:type="dxa"/>
            <w:vMerge w:val="restart"/>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岗位能力要求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6" w:hRule="atLeast"/>
          <w:jc w:val="center"/>
        </w:trPr>
        <w:tc>
          <w:tcPr>
            <w:tcW w:w="574" w:type="dxa"/>
            <w:vMerge w:val="continue"/>
            <w:vAlign w:val="center"/>
          </w:tcPr>
          <w:p>
            <w:pPr>
              <w:spacing w:line="240" w:lineRule="auto"/>
              <w:jc w:val="center"/>
              <w:rPr>
                <w:rFonts w:hint="eastAsia" w:ascii="宋体" w:hAnsi="宋体" w:eastAsia="宋体" w:cs="宋体"/>
                <w:b/>
                <w:sz w:val="24"/>
                <w:szCs w:val="24"/>
              </w:rPr>
            </w:pPr>
          </w:p>
        </w:tc>
        <w:tc>
          <w:tcPr>
            <w:tcW w:w="1257" w:type="dxa"/>
            <w:vMerge w:val="continue"/>
            <w:vAlign w:val="center"/>
          </w:tcPr>
          <w:p>
            <w:pPr>
              <w:spacing w:line="240" w:lineRule="auto"/>
              <w:jc w:val="center"/>
              <w:rPr>
                <w:rFonts w:hint="eastAsia" w:ascii="宋体" w:hAnsi="宋体" w:eastAsia="宋体" w:cs="宋体"/>
                <w:b/>
                <w:sz w:val="24"/>
                <w:szCs w:val="24"/>
              </w:rPr>
            </w:pPr>
          </w:p>
        </w:tc>
        <w:tc>
          <w:tcPr>
            <w:tcW w:w="1103" w:type="dxa"/>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初始岗位</w:t>
            </w:r>
          </w:p>
        </w:tc>
        <w:tc>
          <w:tcPr>
            <w:tcW w:w="1115" w:type="dxa"/>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发展岗位</w:t>
            </w:r>
          </w:p>
        </w:tc>
        <w:tc>
          <w:tcPr>
            <w:tcW w:w="4401" w:type="dxa"/>
            <w:vMerge w:val="continue"/>
          </w:tcPr>
          <w:p>
            <w:pPr>
              <w:spacing w:line="240" w:lineRule="auto"/>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57"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家装设计人员</w:t>
            </w:r>
          </w:p>
        </w:tc>
        <w:tc>
          <w:tcPr>
            <w:tcW w:w="1103"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11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4401" w:type="dxa"/>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能掌握居住空间设计的相关基本知识，具备空间功能分析的能力；运用所学知识及客户需求，给出合适的设计方案或建议；运用软件独立完成方案设计并协助现场方案实施。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9" w:hRule="atLeast"/>
          <w:jc w:val="center"/>
        </w:trPr>
        <w:tc>
          <w:tcPr>
            <w:tcW w:w="57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257"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工装设计人员</w:t>
            </w:r>
          </w:p>
        </w:tc>
        <w:tc>
          <w:tcPr>
            <w:tcW w:w="1103"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11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4401" w:type="dxa"/>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能掌握</w:t>
            </w:r>
            <w:r>
              <w:rPr>
                <w:rFonts w:hint="eastAsia" w:ascii="宋体" w:hAnsi="宋体" w:eastAsia="宋体" w:cs="宋体"/>
                <w:sz w:val="24"/>
                <w:szCs w:val="24"/>
                <w:lang w:eastAsia="zh-CN"/>
              </w:rPr>
              <w:t>公共</w:t>
            </w:r>
            <w:r>
              <w:rPr>
                <w:rFonts w:hint="eastAsia" w:ascii="宋体" w:hAnsi="宋体" w:eastAsia="宋体" w:cs="宋体"/>
                <w:sz w:val="24"/>
                <w:szCs w:val="24"/>
              </w:rPr>
              <w:t>空间设计的相关基本知识，具备空间功能分析的能力及对不同行业商业架构的分析能力；运用所学知识及客户需求，给出合适的设计方案或建议；独立完成方案设计并协助现场方案实施。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257" w:type="dxa"/>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软装设计人员</w:t>
            </w:r>
          </w:p>
        </w:tc>
        <w:tc>
          <w:tcPr>
            <w:tcW w:w="1103"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11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4401" w:type="dxa"/>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能掌握室内陈设设计的基本知识，具有较高的审美，对空间有整体的把控能力；能根据硬装的设计进行软装的搭配，具有较强的沟通协调能力。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257" w:type="dxa"/>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家具设计人员</w:t>
            </w:r>
          </w:p>
        </w:tc>
        <w:tc>
          <w:tcPr>
            <w:tcW w:w="1103"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11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4401" w:type="dxa"/>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能掌握家具设计的基本方法，掌握家具设计中人体工程学的原理；根据室内空间的使用性质，所处环境和要求，结合制造工艺及美学原理，设计各类家具产品；熟悉不同材料的工艺特点。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257" w:type="dxa"/>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绘图人员</w:t>
            </w:r>
          </w:p>
        </w:tc>
        <w:tc>
          <w:tcPr>
            <w:tcW w:w="1103"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1115" w:type="dxa"/>
            <w:vAlign w:val="center"/>
          </w:tcPr>
          <w:p>
            <w:pPr>
              <w:spacing w:line="240" w:lineRule="auto"/>
              <w:jc w:val="center"/>
              <w:rPr>
                <w:rFonts w:hint="eastAsia" w:ascii="宋体" w:hAnsi="宋体" w:eastAsia="宋体" w:cs="宋体"/>
                <w:sz w:val="24"/>
                <w:szCs w:val="24"/>
              </w:rPr>
            </w:pPr>
          </w:p>
        </w:tc>
        <w:tc>
          <w:tcPr>
            <w:tcW w:w="4401" w:type="dxa"/>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能熟练掌握AutoCAD和3ds max等设计软件，针对客户需求进行施工图及效果图的绘制；掌握各造型及材料的施工工艺；掌握国标中施工节点的绘制标准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257" w:type="dxa"/>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项目经理人员</w:t>
            </w:r>
          </w:p>
        </w:tc>
        <w:tc>
          <w:tcPr>
            <w:tcW w:w="1103" w:type="dxa"/>
            <w:vAlign w:val="center"/>
          </w:tcPr>
          <w:p>
            <w:pPr>
              <w:spacing w:line="240" w:lineRule="auto"/>
              <w:jc w:val="center"/>
              <w:rPr>
                <w:rFonts w:hint="eastAsia" w:ascii="宋体" w:hAnsi="宋体" w:eastAsia="宋体" w:cs="宋体"/>
                <w:sz w:val="24"/>
                <w:szCs w:val="24"/>
              </w:rPr>
            </w:pPr>
          </w:p>
        </w:tc>
        <w:tc>
          <w:tcPr>
            <w:tcW w:w="1115"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4401" w:type="dxa"/>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能掌握项目背景及工作流程,组织及协调相关资源,以合同委托的服务内容为依据,完成项目所要求的相关工作；负责项目进度和成本控制、资源协调及风险预测,积极有效的处理项目内外矛盾；对施工现场的监督及工程验收,协助控制设计质量。</w:t>
            </w:r>
          </w:p>
        </w:tc>
      </w:tr>
    </w:tbl>
    <w:p>
      <w:pPr>
        <w:adjustRightInd w:val="0"/>
        <w:snapToGrid w:val="0"/>
        <w:spacing w:line="240" w:lineRule="auto"/>
        <w:ind w:firstLine="480"/>
        <w:rPr>
          <w:rFonts w:hint="eastAsia" w:ascii="宋体" w:hAnsi="宋体" w:eastAsia="宋体" w:cs="宋体"/>
          <w:sz w:val="24"/>
          <w:szCs w:val="24"/>
        </w:rPr>
      </w:pPr>
    </w:p>
    <w:p>
      <w:pPr>
        <w:adjustRightInd w:val="0"/>
        <w:snapToGrid w:val="0"/>
        <w:spacing w:line="240" w:lineRule="auto"/>
        <w:ind w:firstLine="482"/>
        <w:rPr>
          <w:rFonts w:hint="eastAsia" w:ascii="宋体" w:hAnsi="宋体" w:eastAsia="宋体" w:cs="宋体"/>
          <w:b/>
          <w:sz w:val="24"/>
          <w:szCs w:val="24"/>
        </w:rPr>
      </w:pPr>
      <w:r>
        <w:rPr>
          <w:rFonts w:hint="eastAsia" w:ascii="宋体" w:hAnsi="宋体" w:eastAsia="宋体" w:cs="宋体"/>
          <w:b/>
          <w:sz w:val="24"/>
          <w:szCs w:val="24"/>
        </w:rPr>
        <w:t>五、培养目标与培养规格</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（一）培养目标</w:t>
      </w:r>
    </w:p>
    <w:p>
      <w:pPr>
        <w:spacing w:line="24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培养具有创新精神和较强实践能力，掌握本专业必需的基础理论、专业知识及一定的三维设计能力。能够熟悉掌握室内设计的流程与方法，具有较强的室内装饰设计及表达能力，具备一定的项目方案设计能力的高素质技术技能专业人才。</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（二）培养规格</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1.素质要求</w:t>
      </w:r>
    </w:p>
    <w:p>
      <w:pPr>
        <w:spacing w:line="240" w:lineRule="auto"/>
        <w:ind w:firstLine="480" w:firstLineChars="200"/>
        <w:rPr>
          <w:rFonts w:hint="eastAsia" w:ascii="宋体" w:hAnsi="宋体" w:eastAsia="宋体" w:cs="宋体"/>
          <w:sz w:val="24"/>
          <w:szCs w:val="24"/>
        </w:rPr>
      </w:pPr>
      <w:bookmarkStart w:id="0" w:name="_Hlk12128232"/>
      <w:r>
        <w:rPr>
          <w:rFonts w:hint="eastAsia" w:ascii="宋体" w:hAnsi="宋体" w:eastAsia="宋体" w:cs="宋体"/>
          <w:sz w:val="24"/>
          <w:szCs w:val="24"/>
        </w:rPr>
        <w:t>(1) 认真敬业、责任感强，自觉践行，社会主义核心价值观；</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(2)工作积极、主动乐观、自信坚强、吃苦耐劳，能不断学习和提高业务知识与技能；</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(3)具有良好的法律意识以及设计行业职业道德，并内化为自觉行为；</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(4)具有良好的沟通交往能力与团队合作精神。</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2.知识要求</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掌握室内设计基础知识及空间处理等专业知识；</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熟练掌握绘图软件操作命令知识；</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 掌握居住空间设计，根据空间及客户需求进行居住空间设计；</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 掌握商业空间设计，根据不同的商业空间进行工装空间设计；</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 掌握室内陈设设计，对空间设计进行软装的搭配；</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(6)掌握施工图及效果图图的绘图标准及方法，独立进行图纸绘制。</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3.能力要求</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 具有设计的相关基本知识，具备空间功能分析的能力；</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(2)具有装饰材料、结构、施工工艺等方面的知识，能正确选择与运用装饰材料，可以通过设计调整造价；</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(3)具有装饰构造设计的能力，能根据空间特点进行造型设计； </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(4)具有较强的设计创意能力及学习能力，能够胜任居住空间设计、商业空间设计、软装设计及家具设计等工作；</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(5)具有从事室内设计现场测量、方案设计及现场交底和一定的现场管理能力。</w:t>
      </w:r>
    </w:p>
    <w:bookmarkEnd w:id="0"/>
    <w:p>
      <w:pPr>
        <w:overflowPunct w:val="0"/>
        <w:adjustRightInd w:val="0"/>
        <w:spacing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六、课程设置及要求</w:t>
      </w:r>
    </w:p>
    <w:p>
      <w:pPr>
        <w:adjustRightInd w:val="0"/>
        <w:snapToGrid w:val="0"/>
        <w:spacing w:line="240" w:lineRule="auto"/>
        <w:ind w:firstLine="720" w:firstLineChars="300"/>
        <w:rPr>
          <w:rFonts w:hint="eastAsia" w:ascii="宋体" w:hAnsi="宋体" w:eastAsia="宋体" w:cs="宋体"/>
          <w:sz w:val="24"/>
          <w:szCs w:val="24"/>
        </w:rPr>
      </w:pPr>
      <w:r>
        <w:rPr>
          <w:rFonts w:hint="eastAsia" w:ascii="宋体" w:hAnsi="宋体" w:eastAsia="宋体" w:cs="宋体"/>
          <w:sz w:val="24"/>
          <w:szCs w:val="24"/>
          <w:lang w:eastAsia="zh-CN"/>
        </w:rPr>
        <w:t>艺术设计</w:t>
      </w:r>
      <w:r>
        <w:rPr>
          <w:rFonts w:hint="eastAsia" w:ascii="宋体" w:hAnsi="宋体" w:eastAsia="宋体" w:cs="宋体"/>
          <w:sz w:val="24"/>
          <w:szCs w:val="24"/>
        </w:rPr>
        <w:t>专业课程主要包括公共基础课程和专业课程。</w:t>
      </w:r>
    </w:p>
    <w:p>
      <w:pPr>
        <w:pStyle w:val="30"/>
        <w:numPr>
          <w:ilvl w:val="0"/>
          <w:numId w:val="2"/>
        </w:numPr>
        <w:adjustRightInd w:val="0"/>
        <w:snapToGrid w:val="0"/>
        <w:spacing w:line="240" w:lineRule="auto"/>
        <w:ind w:firstLineChars="0"/>
        <w:rPr>
          <w:rFonts w:hint="eastAsia" w:ascii="宋体" w:hAnsi="宋体" w:eastAsia="宋体" w:cs="宋体"/>
          <w:sz w:val="24"/>
          <w:szCs w:val="24"/>
        </w:rPr>
      </w:pPr>
      <w:r>
        <w:rPr>
          <w:rFonts w:hint="eastAsia" w:ascii="宋体" w:hAnsi="宋体" w:eastAsia="宋体" w:cs="宋体"/>
          <w:sz w:val="24"/>
          <w:szCs w:val="24"/>
        </w:rPr>
        <w:t>公共基础课程</w:t>
      </w:r>
    </w:p>
    <w:p>
      <w:pPr>
        <w:adjustRightInd w:val="0"/>
        <w:snapToGrid w:val="0"/>
        <w:spacing w:line="240" w:lineRule="auto"/>
        <w:ind w:left="480" w:firstLine="120" w:firstLineChars="50"/>
        <w:rPr>
          <w:rFonts w:hint="eastAsia" w:ascii="宋体" w:hAnsi="宋体" w:eastAsia="宋体" w:cs="宋体"/>
          <w:sz w:val="24"/>
          <w:szCs w:val="24"/>
        </w:rPr>
      </w:pPr>
      <w:r>
        <w:rPr>
          <w:rFonts w:hint="eastAsia" w:ascii="宋体" w:hAnsi="宋体" w:eastAsia="宋体" w:cs="宋体"/>
          <w:sz w:val="24"/>
          <w:szCs w:val="24"/>
        </w:rPr>
        <w:t>公共基础课程包括公修课程和公共选修课程。</w:t>
      </w:r>
    </w:p>
    <w:p>
      <w:pPr>
        <w:pStyle w:val="30"/>
        <w:numPr>
          <w:ilvl w:val="0"/>
          <w:numId w:val="3"/>
        </w:numPr>
        <w:adjustRightInd w:val="0"/>
        <w:snapToGrid w:val="0"/>
        <w:spacing w:line="240" w:lineRule="auto"/>
        <w:ind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公共必修课程</w:t>
      </w:r>
    </w:p>
    <w:p>
      <w:pPr>
        <w:adjustRightInd w:val="0"/>
        <w:snapToGrid w:val="0"/>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公共必修课程包括思想道德修养与法律基础、毛泽东思想和中国特色社会主义理论体系概论、形势与政策、英语、国防教育与军事训练、计算机应用基础、体育、形势与政策、大学生职业生涯规划和就业指导、大学生心理健康教育、大学语文、大学生创新创业基础等课程, 见表3。</w:t>
      </w:r>
    </w:p>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表3   公共基础必修课程</w:t>
      </w:r>
    </w:p>
    <w:tbl>
      <w:tblPr>
        <w:tblStyle w:val="10"/>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85"/>
        <w:gridCol w:w="708"/>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Mar>
              <w:left w:w="28" w:type="dxa"/>
              <w:right w:w="28" w:type="dxa"/>
            </w:tcMar>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385"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课程名称</w:t>
            </w:r>
          </w:p>
        </w:tc>
        <w:tc>
          <w:tcPr>
            <w:tcW w:w="708"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学分</w:t>
            </w:r>
          </w:p>
        </w:tc>
        <w:tc>
          <w:tcPr>
            <w:tcW w:w="5732"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1385"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大学语文</w:t>
            </w:r>
          </w:p>
        </w:tc>
        <w:tc>
          <w:tcPr>
            <w:tcW w:w="708"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732" w:type="dxa"/>
            <w:vAlign w:val="center"/>
          </w:tcPr>
          <w:p>
            <w:pPr>
              <w:pStyle w:val="39"/>
              <w:spacing w:before="93" w:after="93" w:line="240" w:lineRule="auto"/>
              <w:ind w:firstLine="31680"/>
              <w:rPr>
                <w:rFonts w:hint="eastAsia" w:ascii="宋体" w:hAnsi="宋体" w:eastAsia="宋体" w:cs="宋体"/>
                <w:sz w:val="24"/>
                <w:szCs w:val="24"/>
              </w:rPr>
            </w:pPr>
            <w:r>
              <w:rPr>
                <w:rFonts w:hint="eastAsia" w:ascii="宋体" w:hAnsi="宋体" w:eastAsia="宋体" w:cs="宋体"/>
                <w:sz w:val="24"/>
                <w:szCs w:val="24"/>
              </w:rPr>
              <w:t>本课程在教学中融语文教育的工具性、人文性、审美性与开放性于一体，对学生的语文知识、能力、职业道德和人文素养进行集成培养。旨在通过学习，使学生具备包括阅读理解、形象思维和口头表达交流在内的基本能力，引导学生领会、感受、热爱中国优秀传统文化。主要涵盖中国古代诗词、散文的经典作品和代表作家；中国现当代经典诗歌、散文的经典作品和代表作家。使学生对中国文学发展的全貌有粗略的了解，从而建构文学史的知识体系；选取有代表性的作家作品，从作家的人生经历等方面作深入细致地剖析，以点带面，使学生了解和掌握各历史阶段的文学的概貌；区别于中学语文，不侧重句段了解，引导学生从个体感受出发，领会传统文化魅力，热爱祖国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1385"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实用英语</w:t>
            </w:r>
          </w:p>
        </w:tc>
        <w:tc>
          <w:tcPr>
            <w:tcW w:w="708"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3.5</w:t>
            </w:r>
          </w:p>
        </w:tc>
        <w:tc>
          <w:tcPr>
            <w:tcW w:w="5732" w:type="dxa"/>
            <w:vAlign w:val="center"/>
          </w:tcPr>
          <w:p>
            <w:pPr>
              <w:pStyle w:val="39"/>
              <w:spacing w:before="93" w:after="93" w:line="240" w:lineRule="auto"/>
              <w:ind w:firstLine="31680"/>
              <w:rPr>
                <w:rFonts w:hint="eastAsia" w:ascii="宋体" w:hAnsi="宋体" w:eastAsia="宋体" w:cs="宋体"/>
                <w:sz w:val="24"/>
                <w:szCs w:val="24"/>
              </w:rPr>
            </w:pPr>
            <w:r>
              <w:rPr>
                <w:rFonts w:hint="eastAsia" w:ascii="宋体" w:hAnsi="宋体" w:eastAsia="宋体" w:cs="宋体"/>
                <w:sz w:val="24"/>
                <w:szCs w:val="24"/>
              </w:rPr>
              <w:t>本课程是我院非英语专业学生的公共必修课程，该课程不仅是一门语言基础课程，也是拓宽知识面、了解世界文化的素质教育课程，是为培养面向生产、建设、服务和管理第一线需要的高端技能型人才的目标服务，培养高职学生综合素质、提升职业可持续发展能力的重要课程，在学生职业能力培养和职业素质养成方面具有支撑和促进作用。课程全面培养学生的英语综合应用能力，使学生具有一定的听、说、读、写、译能力，使其在未来的社会交往和工作、学习中能够使用英语进行有效的信息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3</w:t>
            </w:r>
          </w:p>
        </w:tc>
        <w:tc>
          <w:tcPr>
            <w:tcW w:w="1385"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体育</w:t>
            </w:r>
          </w:p>
        </w:tc>
        <w:tc>
          <w:tcPr>
            <w:tcW w:w="708"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4</w:t>
            </w:r>
          </w:p>
        </w:tc>
        <w:tc>
          <w:tcPr>
            <w:tcW w:w="5732" w:type="dxa"/>
            <w:vAlign w:val="center"/>
          </w:tcPr>
          <w:p>
            <w:pPr>
              <w:pStyle w:val="39"/>
              <w:spacing w:before="93" w:after="93" w:line="240" w:lineRule="auto"/>
              <w:ind w:firstLine="31680"/>
              <w:rPr>
                <w:rFonts w:hint="eastAsia" w:ascii="宋体" w:hAnsi="宋体" w:eastAsia="宋体" w:cs="宋体"/>
                <w:sz w:val="24"/>
                <w:szCs w:val="24"/>
              </w:rPr>
            </w:pPr>
            <w:r>
              <w:rPr>
                <w:rFonts w:hint="eastAsia" w:ascii="宋体" w:hAnsi="宋体" w:eastAsia="宋体" w:cs="宋体"/>
                <w:sz w:val="24"/>
                <w:szCs w:val="24"/>
              </w:rPr>
              <w:t>本课程旨在贯彻“健康第一”思想，注重德、智、体、美、劳全面发展，培养学生“终身体育”和科学健身的意识，激发学生积极参与体育活动的兴趣，通过体育教学和健身锻炼的全过程，使学生在掌握基本的体育基本知识、基本技能和技巧的基础上，努力达到运动参与、运动技能、身体健康、心理健康、社会适应等目标，并熟练掌握两项及以上体育运动的方法和技能，提高身体素质健康水平和体育运动科学锻炼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4</w:t>
            </w:r>
          </w:p>
        </w:tc>
        <w:tc>
          <w:tcPr>
            <w:tcW w:w="1385"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毛泽东思想和中国特色社会主义理论体系概论</w:t>
            </w:r>
          </w:p>
        </w:tc>
        <w:tc>
          <w:tcPr>
            <w:tcW w:w="708"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4</w:t>
            </w:r>
          </w:p>
        </w:tc>
        <w:tc>
          <w:tcPr>
            <w:tcW w:w="5732" w:type="dxa"/>
            <w:vAlign w:val="center"/>
          </w:tcPr>
          <w:p>
            <w:pPr>
              <w:pStyle w:val="39"/>
              <w:spacing w:before="93" w:after="93" w:line="240" w:lineRule="auto"/>
              <w:ind w:firstLine="31680"/>
              <w:rPr>
                <w:rFonts w:hint="eastAsia" w:ascii="宋体" w:hAnsi="宋体" w:eastAsia="宋体" w:cs="宋体"/>
                <w:sz w:val="24"/>
                <w:szCs w:val="24"/>
              </w:rPr>
            </w:pPr>
            <w:r>
              <w:rPr>
                <w:rFonts w:hint="eastAsia" w:ascii="宋体" w:hAnsi="宋体" w:eastAsia="宋体" w:cs="宋体"/>
                <w:sz w:val="24"/>
                <w:szCs w:val="24"/>
              </w:rPr>
              <w:t>本课程是中共中央宣传部和国家教育部规定的高职院校思想政治理论课中的骨干和核心课程，是高等学校学生必修的基础教育课。本课程所包含的内容是高职学生应当具备的知识结构和素质结构的重要组成部分，也是培养中国特色社会主义合格建设者和可靠接班人的不可缺少的教育内容，在各专业人才培养方案中起着基础性和导向性作用，为培养高素质技能型人才保驾护航。本课程以中国化的马克思主义为主题，以马克思主义中国化为主线，以中国特色社会主义为重点，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5</w:t>
            </w:r>
          </w:p>
        </w:tc>
        <w:tc>
          <w:tcPr>
            <w:tcW w:w="1385"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思想道德修养与法律基础</w:t>
            </w:r>
          </w:p>
        </w:tc>
        <w:tc>
          <w:tcPr>
            <w:tcW w:w="708"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3</w:t>
            </w:r>
          </w:p>
        </w:tc>
        <w:tc>
          <w:tcPr>
            <w:tcW w:w="5732" w:type="dxa"/>
            <w:vAlign w:val="center"/>
          </w:tcPr>
          <w:p>
            <w:pPr>
              <w:pStyle w:val="39"/>
              <w:spacing w:before="93" w:after="93" w:line="240" w:lineRule="auto"/>
              <w:ind w:firstLine="31680"/>
              <w:rPr>
                <w:rFonts w:hint="eastAsia" w:ascii="宋体" w:hAnsi="宋体" w:eastAsia="宋体" w:cs="宋体"/>
                <w:sz w:val="24"/>
                <w:szCs w:val="24"/>
              </w:rPr>
            </w:pPr>
            <w:r>
              <w:rPr>
                <w:rFonts w:hint="eastAsia" w:ascii="宋体" w:hAnsi="宋体" w:eastAsia="宋体" w:cs="宋体"/>
                <w:sz w:val="24"/>
                <w:szCs w:val="24"/>
              </w:rPr>
              <w:t>本课程是中共中央宣传部和国家教育部规定的高职院校思想政治理论课中的骨干和核心课程，是高等学校学生的必修课。本课程所包含的内容是高职学生应当具备的知识结构和素质结构的重要组成部分，以马克思主义为指导，以习近平新时代中国特色社会主义思想为价值取向，以正确的世界观、人生观、价值观和道德观、法制观教育为主要内容，把社会主义核心价值观贯穿教学的全过程，通过理论学习和实践体验，提高大学生的思想道德素质、行为修养和法律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6</w:t>
            </w:r>
          </w:p>
        </w:tc>
        <w:tc>
          <w:tcPr>
            <w:tcW w:w="1385"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形势与政策</w:t>
            </w:r>
          </w:p>
        </w:tc>
        <w:tc>
          <w:tcPr>
            <w:tcW w:w="708"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732" w:type="dxa"/>
            <w:vAlign w:val="center"/>
          </w:tcPr>
          <w:p>
            <w:pPr>
              <w:pStyle w:val="39"/>
              <w:spacing w:before="93" w:after="93" w:line="240" w:lineRule="auto"/>
              <w:ind w:firstLine="348" w:firstLineChars="145"/>
              <w:rPr>
                <w:rFonts w:hint="eastAsia" w:ascii="宋体" w:hAnsi="宋体" w:eastAsia="宋体" w:cs="宋体"/>
                <w:sz w:val="24"/>
                <w:szCs w:val="24"/>
              </w:rPr>
            </w:pPr>
            <w:r>
              <w:rPr>
                <w:rFonts w:hint="eastAsia" w:ascii="宋体" w:hAnsi="宋体" w:eastAsia="宋体" w:cs="宋体"/>
                <w:sz w:val="24"/>
                <w:szCs w:val="24"/>
              </w:rPr>
              <w:t>本课程是理论武装时效性、释疑解惑针对性、教育引导综合性都很强的一门高校思想政治理论课，是高校思想政治理论课的重要组成部分，是对学生进行形势与政策教育的主渠道、主阵地，是每个大学生的必修课程，在大学生思想政治教育中担负着重要使命，是引导学生正确认识世界和中国发展大势，正确认识中国特色和国际比较，正确认识时代责任和历史使命，正确认识远大抱负和脚踏实地的重要课程。本课程基本任务是紧密结合国内外形势，紧密结合大学生的思想实际，通过适时地对学生进行国内形势政策、世界政治经济与国际关系基本知识的教育，帮助学生开阔视野，及时了解和正确对待国内外重大时事，使大学生在改革开放环境下有坚定的立场，较强的分析能力和适应能力。</w:t>
            </w:r>
          </w:p>
        </w:tc>
      </w:tr>
    </w:tbl>
    <w:p>
      <w:pPr>
        <w:adjustRightInd w:val="0"/>
        <w:snapToGrid w:val="0"/>
        <w:spacing w:line="240" w:lineRule="auto"/>
        <w:ind w:firstLine="480"/>
        <w:rPr>
          <w:rFonts w:hint="eastAsia" w:ascii="宋体" w:hAnsi="宋体" w:eastAsia="宋体" w:cs="宋体"/>
          <w:sz w:val="24"/>
          <w:szCs w:val="24"/>
        </w:rPr>
      </w:pP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2．公共基础限定选修课程</w:t>
      </w: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公共基础限定选修课程共计不少于12学分，包括人文素养类（≥2学分）、中华优秀传统文化类（≥2学分）、职业素养（≥1学分）、马克思主义理论类（≥1学分）、党史国史（≥1学分）、健康教育（≥1学分）、美育（≥1学分）、安全教育（≥1学分），详见表4（各类的具体课程可能会根据实际情况进行调整）。</w:t>
      </w:r>
    </w:p>
    <w:p>
      <w:pPr>
        <w:spacing w:line="24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表4   公共基础限定选修课程</w:t>
      </w:r>
    </w:p>
    <w:tbl>
      <w:tblPr>
        <w:tblStyle w:val="10"/>
        <w:tblW w:w="5000" w:type="pct"/>
        <w:jc w:val="center"/>
        <w:tblLayout w:type="autofit"/>
        <w:tblCellMar>
          <w:top w:w="0" w:type="dxa"/>
          <w:left w:w="108" w:type="dxa"/>
          <w:bottom w:w="0" w:type="dxa"/>
          <w:right w:w="108" w:type="dxa"/>
        </w:tblCellMar>
      </w:tblPr>
      <w:tblGrid>
        <w:gridCol w:w="2054"/>
        <w:gridCol w:w="4029"/>
        <w:gridCol w:w="1561"/>
        <w:gridCol w:w="65"/>
        <w:gridCol w:w="813"/>
      </w:tblGrid>
      <w:tr>
        <w:tblPrEx>
          <w:tblCellMar>
            <w:top w:w="0" w:type="dxa"/>
            <w:left w:w="108" w:type="dxa"/>
            <w:bottom w:w="0" w:type="dxa"/>
            <w:right w:w="108" w:type="dxa"/>
          </w:tblCellMar>
        </w:tblPrEx>
        <w:trPr>
          <w:trHeight w:val="340" w:hRule="atLeast"/>
          <w:jc w:val="center"/>
        </w:trPr>
        <w:tc>
          <w:tcPr>
            <w:tcW w:w="1205" w:type="pct"/>
            <w:tcBorders>
              <w:top w:val="single" w:color="auto" w:sz="4" w:space="0"/>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b/>
                <w:bCs/>
                <w:sz w:val="24"/>
                <w:szCs w:val="24"/>
              </w:rPr>
            </w:pPr>
            <w:r>
              <w:rPr>
                <w:rFonts w:hint="eastAsia" w:ascii="宋体" w:hAnsi="宋体" w:eastAsia="宋体" w:cs="宋体"/>
                <w:b/>
                <w:bCs/>
                <w:sz w:val="24"/>
                <w:szCs w:val="24"/>
              </w:rPr>
              <w:t>课程分类</w:t>
            </w: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b/>
                <w:bCs/>
                <w:sz w:val="24"/>
                <w:szCs w:val="24"/>
              </w:rPr>
            </w:pPr>
            <w:r>
              <w:rPr>
                <w:rFonts w:hint="eastAsia" w:ascii="宋体" w:hAnsi="宋体" w:eastAsia="宋体" w:cs="宋体"/>
                <w:b/>
                <w:bCs/>
                <w:sz w:val="24"/>
                <w:szCs w:val="24"/>
              </w:rPr>
              <w:t>课程名称</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b/>
                <w:bCs/>
                <w:sz w:val="24"/>
                <w:szCs w:val="24"/>
              </w:rPr>
            </w:pPr>
            <w:r>
              <w:rPr>
                <w:rFonts w:hint="eastAsia" w:ascii="宋体" w:hAnsi="宋体" w:eastAsia="宋体" w:cs="宋体"/>
                <w:b/>
                <w:bCs/>
                <w:sz w:val="24"/>
                <w:szCs w:val="24"/>
              </w:rPr>
              <w:t>学分</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CellMar>
            <w:top w:w="0" w:type="dxa"/>
            <w:left w:w="108" w:type="dxa"/>
            <w:bottom w:w="0" w:type="dxa"/>
            <w:right w:w="108" w:type="dxa"/>
          </w:tblCellMar>
        </w:tblPrEx>
        <w:trPr>
          <w:trHeight w:val="346" w:hRule="atLeast"/>
          <w:jc w:val="center"/>
        </w:trPr>
        <w:tc>
          <w:tcPr>
            <w:tcW w:w="1205" w:type="pct"/>
            <w:vMerge w:val="restart"/>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人文素养类</w:t>
            </w: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幸福心理学</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语言与文化</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辩论修养</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1.5</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礼仪与形体训练</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1.5</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形象管理</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实用普通话训练</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restart"/>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中华优秀传统文化类</w:t>
            </w:r>
          </w:p>
        </w:tc>
        <w:tc>
          <w:tcPr>
            <w:tcW w:w="2364" w:type="pct"/>
            <w:tcBorders>
              <w:top w:val="nil"/>
              <w:left w:val="nil"/>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中华传统文化之文学瑰宝</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陶艺基础</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书画</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插花</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剪纸</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茶艺</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易学与中国传统文化</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中国传统玉文化与美玉鉴赏</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中国文化概论</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中华诗词之美</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先秦君子风范</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中华民族精神</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儒学与生活</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nil"/>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中国古代礼仪文明</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restart"/>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职业素养类</w:t>
            </w: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商业文化与商业伦理</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大数据处理</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职业压力管理</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九型人格之职场心理</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职业生涯提升</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人工智能与信息社会</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移动互联网时代的信息安全与防护</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信息系统与数据库技术</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信息素养：效率提升与终身学习的新引擎</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组织行为与领导力</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组织行为学</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创新创业教育基础</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1.5</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left w:val="single" w:color="auto" w:sz="4" w:space="0"/>
              <w:bottom w:val="single" w:color="auto"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创业创新领导力</w:t>
            </w:r>
          </w:p>
        </w:tc>
        <w:tc>
          <w:tcPr>
            <w:tcW w:w="916" w:type="pct"/>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nil"/>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restart"/>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马克思主义理论类</w:t>
            </w: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习近平新时代中国特色社会主义思想与当代中国</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习近平新时代中国特色社会主义思想</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6"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马克思主义基本原理概论</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restart"/>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党史国史类</w:t>
            </w: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中国近现代史纲要（中南大学版）</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中国近现代史纲要</w:t>
            </w:r>
          </w:p>
        </w:tc>
        <w:tc>
          <w:tcPr>
            <w:tcW w:w="916"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51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《共产党宣言》导读</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中国文明史（上）</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中国文明史（下）</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中国古代史</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中国书法史</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东方文学史</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近代中日关系史研究</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中国近代史纲要</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restart"/>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健康教育类</w:t>
            </w: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大学生健康教育</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健康与健康能力</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健康与药</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大学生生理健康</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大学生防艾健康教育</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大学生恋爱与性健康</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食品安全与日常饮食</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生命安全与救援</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微生物与人类健康</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突发事件及自救互救</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营养与健康</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轻松走出亚健康</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restart"/>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美育类</w:t>
            </w: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大学美育</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美的历程：美学导论</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艺术哲学：美是如何诞生的</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艺术鉴赏</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聆听心声：音乐审美心理分析</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文艺美学</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美术概论</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舞蹈鉴赏</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漫画艺术欣赏与创作</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戏剧鉴赏</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中国古建筑欣赏与设计</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影视动画鉴赏</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美术鉴赏</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文学名作赏析</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古典诗词欣赏</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通俗歌曲欣赏与演唱</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校内</w:t>
            </w:r>
          </w:p>
        </w:tc>
      </w:tr>
      <w:tr>
        <w:tblPrEx>
          <w:tblCellMar>
            <w:top w:w="0" w:type="dxa"/>
            <w:left w:w="108" w:type="dxa"/>
            <w:bottom w:w="0" w:type="dxa"/>
            <w:right w:w="108" w:type="dxa"/>
          </w:tblCellMar>
        </w:tblPrEx>
        <w:trPr>
          <w:trHeight w:val="340" w:hRule="atLeast"/>
          <w:jc w:val="center"/>
        </w:trPr>
        <w:tc>
          <w:tcPr>
            <w:tcW w:w="1205" w:type="pct"/>
            <w:vMerge w:val="continue"/>
            <w:tcBorders>
              <w:top w:val="single" w:color="auto" w:sz="4" w:space="0"/>
              <w:left w:val="single" w:color="auto" w:sz="4" w:space="0"/>
              <w:bottom w:val="single" w:color="000000" w:sz="4" w:space="0"/>
              <w:right w:val="single" w:color="auto" w:sz="4" w:space="0"/>
            </w:tcBorders>
            <w:vAlign w:val="center"/>
          </w:tcPr>
          <w:p>
            <w:pPr>
              <w:pStyle w:val="37"/>
              <w:spacing w:line="240" w:lineRule="auto"/>
              <w:rPr>
                <w:rFonts w:hint="eastAsia" w:ascii="宋体" w:hAnsi="宋体" w:eastAsia="宋体" w:cs="宋体"/>
                <w:sz w:val="24"/>
                <w:szCs w:val="24"/>
              </w:rPr>
            </w:pPr>
          </w:p>
        </w:tc>
        <w:tc>
          <w:tcPr>
            <w:tcW w:w="2364"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音乐欣赏</w:t>
            </w:r>
          </w:p>
        </w:tc>
        <w:tc>
          <w:tcPr>
            <w:tcW w:w="954" w:type="pct"/>
            <w:gridSpan w:val="2"/>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477" w:type="pct"/>
            <w:tcBorders>
              <w:top w:val="single" w:color="auto" w:sz="4" w:space="0"/>
              <w:left w:val="nil"/>
              <w:bottom w:val="single" w:color="auto" w:sz="4" w:space="0"/>
              <w:right w:val="single" w:color="auto" w:sz="4" w:space="0"/>
            </w:tcBorders>
            <w:shd w:val="clear" w:color="000000" w:fill="FFFFFF"/>
            <w:vAlign w:val="center"/>
          </w:tcPr>
          <w:p>
            <w:pPr>
              <w:pStyle w:val="37"/>
              <w:spacing w:line="240" w:lineRule="auto"/>
              <w:rPr>
                <w:rFonts w:hint="eastAsia" w:ascii="宋体" w:hAnsi="宋体" w:eastAsia="宋体" w:cs="宋体"/>
                <w:sz w:val="24"/>
                <w:szCs w:val="24"/>
              </w:rPr>
            </w:pPr>
          </w:p>
        </w:tc>
      </w:tr>
    </w:tbl>
    <w:p>
      <w:pPr>
        <w:spacing w:line="360" w:lineRule="auto"/>
        <w:rPr>
          <w:rFonts w:ascii="Cambria Math" w:eastAsia="Times New Roman"/>
          <w:color w:val="0070C0"/>
          <w:sz w:val="24"/>
          <w:szCs w:val="24"/>
        </w:rPr>
      </w:pP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（二）专业(技能)课程</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专业（技能）课程包括专业必修课程和专业选修课程。</w:t>
      </w:r>
    </w:p>
    <w:p>
      <w:pPr>
        <w:pStyle w:val="30"/>
        <w:numPr>
          <w:ilvl w:val="0"/>
          <w:numId w:val="4"/>
        </w:numPr>
        <w:spacing w:line="240" w:lineRule="auto"/>
        <w:ind w:firstLineChars="0"/>
        <w:rPr>
          <w:rFonts w:hint="eastAsia" w:ascii="宋体" w:hAnsi="宋体" w:eastAsia="宋体" w:cs="宋体"/>
          <w:sz w:val="24"/>
          <w:szCs w:val="24"/>
        </w:rPr>
      </w:pPr>
      <w:r>
        <w:rPr>
          <w:rFonts w:hint="eastAsia" w:ascii="宋体" w:hAnsi="宋体" w:eastAsia="宋体" w:cs="宋体"/>
          <w:sz w:val="24"/>
          <w:szCs w:val="24"/>
        </w:rPr>
        <w:t>专业必修课程</w:t>
      </w:r>
    </w:p>
    <w:p>
      <w:pPr>
        <w:spacing w:line="24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专业必修课程包括专业基础课程、专业核心课程、其他专业课程及专业实践课程。其中，专业核心课程7门</w:t>
      </w:r>
      <w:r>
        <w:rPr>
          <w:rFonts w:hint="eastAsia" w:ascii="宋体" w:hAnsi="宋体" w:eastAsia="宋体" w:cs="宋体"/>
          <w:sz w:val="24"/>
          <w:szCs w:val="24"/>
          <w:lang w:eastAsia="zh-CN"/>
        </w:rPr>
        <w:t>。</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（1）专业基础课程</w:t>
      </w:r>
    </w:p>
    <w:p>
      <w:pPr>
        <w:spacing w:line="240" w:lineRule="auto"/>
        <w:ind w:firstLine="480" w:firstLineChars="200"/>
        <w:rPr>
          <w:rFonts w:hint="eastAsia" w:ascii="宋体" w:hAnsi="宋体" w:eastAsia="宋体" w:cs="宋体"/>
          <w:color w:val="FF0000"/>
          <w:sz w:val="24"/>
          <w:szCs w:val="24"/>
          <w:lang w:eastAsia="zh-CN"/>
        </w:rPr>
      </w:pPr>
      <w:r>
        <w:rPr>
          <w:rFonts w:hint="eastAsia" w:ascii="宋体" w:hAnsi="宋体" w:eastAsia="宋体" w:cs="宋体"/>
          <w:sz w:val="24"/>
          <w:szCs w:val="24"/>
        </w:rPr>
        <w:t>专业基础课程包括设计色彩、构成基础、制图设计（AutoCAD）等，见表5</w:t>
      </w:r>
      <w:r>
        <w:rPr>
          <w:rFonts w:hint="eastAsia" w:ascii="宋体" w:hAnsi="宋体" w:eastAsia="宋体" w:cs="宋体"/>
          <w:sz w:val="24"/>
          <w:szCs w:val="24"/>
          <w:lang w:eastAsia="zh-CN"/>
        </w:rPr>
        <w:t>。</w:t>
      </w:r>
    </w:p>
    <w:p>
      <w:pPr>
        <w:spacing w:line="240" w:lineRule="auto"/>
        <w:jc w:val="center"/>
        <w:rPr>
          <w:rFonts w:hint="eastAsia" w:ascii="宋体" w:hAnsi="宋体" w:eastAsia="宋体" w:cs="宋体"/>
          <w:b/>
          <w:bCs w:val="0"/>
          <w:color w:val="0070C0"/>
          <w:sz w:val="24"/>
          <w:szCs w:val="24"/>
        </w:rPr>
      </w:pPr>
      <w:r>
        <w:rPr>
          <w:rFonts w:hint="eastAsia" w:ascii="宋体" w:hAnsi="宋体" w:eastAsia="宋体" w:cs="宋体"/>
          <w:b/>
          <w:bCs w:val="0"/>
          <w:sz w:val="24"/>
          <w:szCs w:val="24"/>
        </w:rPr>
        <w:t>表5  专业基础课程</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71"/>
        <w:gridCol w:w="704"/>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Mar>
              <w:left w:w="28" w:type="dxa"/>
              <w:right w:w="28" w:type="dxa"/>
            </w:tcMar>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371"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课程名称</w:t>
            </w:r>
          </w:p>
        </w:tc>
        <w:tc>
          <w:tcPr>
            <w:tcW w:w="704"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学分</w:t>
            </w:r>
          </w:p>
        </w:tc>
        <w:tc>
          <w:tcPr>
            <w:tcW w:w="5659"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371"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设计素描</w:t>
            </w:r>
          </w:p>
        </w:tc>
        <w:tc>
          <w:tcPr>
            <w:tcW w:w="70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9" w:type="dxa"/>
            <w:vAlign w:val="center"/>
          </w:tcPr>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本课程旨在引领学生掌握室内设计工作中的造型知识，通过对形体明晰结构，善用图形进行平面设计，以胜任室内设计岗位工作。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371"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设计色彩</w:t>
            </w:r>
          </w:p>
        </w:tc>
        <w:tc>
          <w:tcPr>
            <w:tcW w:w="70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9"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本课程旨在引领学生掌握室内设计工作中的色彩知识，通过对色彩明晰搭配组合，善用色彩进行平面设计，以胜任室内设计岗位工作。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371"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设计速写</w:t>
            </w:r>
          </w:p>
        </w:tc>
        <w:tc>
          <w:tcPr>
            <w:tcW w:w="70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9"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本课程旨在引领学生掌握室内设计工作中的快速绘图知识，通过对造型明晰设计方案，善用绘图进行平面设计，以胜任室内设计岗位工作。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371"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构成基础</w:t>
            </w:r>
          </w:p>
        </w:tc>
        <w:tc>
          <w:tcPr>
            <w:tcW w:w="70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5659"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本课程旨在引领学生掌握广告设计工作中的点、线、面、色视觉构成元素知识，通过对视觉元素明晰视觉表现，善用抽象图形进行平面设计，以胜任室内设计岗位工作。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371"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人体工程学</w:t>
            </w:r>
          </w:p>
        </w:tc>
        <w:tc>
          <w:tcPr>
            <w:tcW w:w="70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5659"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本课程旨在引领学生掌握室内设计工作中的图形创意知识，通过对图形创意明晰设计理念视觉表现，善用创意图形进行平面设计，以胜任室内设计岗位工作。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1371"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制图设（Auto CAD）</w:t>
            </w:r>
          </w:p>
        </w:tc>
        <w:tc>
          <w:tcPr>
            <w:tcW w:w="70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9"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本课程旨在引领学生掌握室内设计中施工图绘制的软件知识，通过对CAD软件工具的运用表现设计方案及造型节点，以胜任室内设计的岗位工作。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1371"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制图设计（3DS MAX）</w:t>
            </w:r>
          </w:p>
        </w:tc>
        <w:tc>
          <w:tcPr>
            <w:tcW w:w="70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9"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本课程旨在引领学生掌握室内设计专业中效果图绘制的软件知识，通过对3DS MAX软件的学习，掌握效果图的绘制方法，进行空间设计的直观表现，以胜任室内设计岗位工作。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1371"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室内设计表现技法</w:t>
            </w:r>
          </w:p>
        </w:tc>
        <w:tc>
          <w:tcPr>
            <w:tcW w:w="704"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9"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本课程旨在引领学生掌握室内设计专业中手绘效果图的表现技法，通过对手绘效果图技法的学习，掌握手绘效果图的绘制方法，进行空间设计的直观表现，以协助室内设计岗位工作。</w:t>
            </w:r>
          </w:p>
        </w:tc>
      </w:tr>
    </w:tbl>
    <w:p>
      <w:pPr>
        <w:adjustRightInd w:val="0"/>
        <w:snapToGrid w:val="0"/>
        <w:spacing w:line="240" w:lineRule="auto"/>
        <w:ind w:firstLine="480"/>
        <w:rPr>
          <w:rFonts w:hint="eastAsia" w:ascii="宋体" w:hAnsi="宋体" w:eastAsia="宋体" w:cs="宋体"/>
          <w:sz w:val="24"/>
          <w:szCs w:val="24"/>
        </w:rPr>
      </w:pPr>
    </w:p>
    <w:p>
      <w:pPr>
        <w:adjustRightInd w:val="0"/>
        <w:snapToGrid w:val="0"/>
        <w:spacing w:line="240" w:lineRule="auto"/>
        <w:ind w:firstLine="482"/>
        <w:rPr>
          <w:rFonts w:hint="eastAsia" w:ascii="宋体" w:hAnsi="宋体" w:eastAsia="宋体" w:cs="宋体"/>
          <w:sz w:val="24"/>
          <w:szCs w:val="24"/>
          <w:lang w:eastAsia="zh-CN"/>
        </w:rPr>
      </w:pPr>
      <w:r>
        <w:rPr>
          <w:rFonts w:hint="eastAsia" w:ascii="宋体" w:hAnsi="宋体" w:eastAsia="宋体" w:cs="宋体"/>
          <w:sz w:val="24"/>
          <w:szCs w:val="24"/>
        </w:rPr>
        <w:t>（2）专业核心课程，包括居住空间设计、室内制图与识图、家具设计、制图设计（Sketchup）、模型制作、室内陈设设计、商业空间设计，见表6</w:t>
      </w:r>
      <w:r>
        <w:rPr>
          <w:rFonts w:hint="eastAsia" w:ascii="宋体" w:hAnsi="宋体" w:eastAsia="宋体" w:cs="宋体"/>
          <w:sz w:val="24"/>
          <w:szCs w:val="24"/>
          <w:lang w:eastAsia="zh-CN"/>
        </w:rPr>
        <w:t>。</w:t>
      </w:r>
    </w:p>
    <w:p>
      <w:pPr>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表6  专业核心课程</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72"/>
        <w:gridCol w:w="704"/>
        <w:gridCol w:w="5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Mar>
              <w:left w:w="28" w:type="dxa"/>
              <w:right w:w="28" w:type="dxa"/>
            </w:tcMar>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372"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课程名称</w:t>
            </w:r>
          </w:p>
        </w:tc>
        <w:tc>
          <w:tcPr>
            <w:tcW w:w="704"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学分</w:t>
            </w:r>
          </w:p>
        </w:tc>
        <w:tc>
          <w:tcPr>
            <w:tcW w:w="5658"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37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居住空间设计</w:t>
            </w:r>
          </w:p>
        </w:tc>
        <w:tc>
          <w:tcPr>
            <w:tcW w:w="704" w:type="dxa"/>
          </w:tcPr>
          <w:p>
            <w:pPr>
              <w:spacing w:line="240" w:lineRule="auto"/>
              <w:jc w:val="center"/>
              <w:rPr>
                <w:rFonts w:hint="eastAsia" w:ascii="宋体" w:hAnsi="宋体" w:eastAsia="宋体" w:cs="宋体"/>
                <w:sz w:val="24"/>
                <w:szCs w:val="24"/>
              </w:rPr>
            </w:pPr>
          </w:p>
          <w:p>
            <w:pPr>
              <w:spacing w:line="24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4</w:t>
            </w:r>
          </w:p>
        </w:tc>
        <w:tc>
          <w:tcPr>
            <w:tcW w:w="5658"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居住空间设计的能力，根据人的生活习惯及空间职能进行方案设计；培养学生根据客户需要、材料工艺、空间特点，按照人体工程学的原理进行空间设计的表现，以胜任室内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372" w:type="dxa"/>
            <w:vAlign w:val="center"/>
          </w:tcPr>
          <w:p>
            <w:pPr>
              <w:spacing w:line="24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展示设计</w:t>
            </w:r>
          </w:p>
        </w:tc>
        <w:tc>
          <w:tcPr>
            <w:tcW w:w="704" w:type="dxa"/>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5658" w:type="dxa"/>
            <w:vAlign w:val="center"/>
          </w:tcPr>
          <w:p>
            <w:pPr>
              <w:spacing w:line="24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本课程旨在引领学生掌握</w:t>
            </w:r>
            <w:r>
              <w:rPr>
                <w:rFonts w:hint="eastAsia" w:ascii="宋体" w:hAnsi="宋体" w:eastAsia="宋体" w:cs="宋体"/>
                <w:sz w:val="24"/>
                <w:szCs w:val="24"/>
                <w:lang w:eastAsia="zh-CN"/>
              </w:rPr>
              <w:t>展示空间设计</w:t>
            </w:r>
            <w:r>
              <w:rPr>
                <w:rFonts w:hint="eastAsia" w:ascii="宋体" w:hAnsi="宋体" w:eastAsia="宋体" w:cs="宋体"/>
                <w:sz w:val="24"/>
                <w:szCs w:val="24"/>
              </w:rPr>
              <w:t>技能，</w:t>
            </w:r>
            <w:r>
              <w:rPr>
                <w:rFonts w:hint="eastAsia" w:ascii="宋体" w:hAnsi="宋体" w:eastAsia="宋体" w:cs="宋体"/>
                <w:sz w:val="24"/>
                <w:szCs w:val="24"/>
                <w:lang w:eastAsia="zh-CN"/>
              </w:rPr>
              <w:t>能对商品或展示物品进行分析，通过合理的展示道具来展示物品，展示照明的合理设计，达到人与物的视觉沟通。</w:t>
            </w:r>
            <w:r>
              <w:rPr>
                <w:rFonts w:hint="eastAsia" w:ascii="宋体" w:hAnsi="宋体" w:eastAsia="宋体" w:cs="宋体"/>
                <w:sz w:val="24"/>
                <w:szCs w:val="24"/>
              </w:rPr>
              <w:t>以胜任</w:t>
            </w:r>
            <w:r>
              <w:rPr>
                <w:rFonts w:hint="eastAsia" w:ascii="宋体" w:hAnsi="宋体" w:eastAsia="宋体" w:cs="宋体"/>
                <w:sz w:val="24"/>
                <w:szCs w:val="24"/>
                <w:lang w:eastAsia="zh-CN"/>
              </w:rPr>
              <w:t>展示</w:t>
            </w:r>
            <w:r>
              <w:rPr>
                <w:rFonts w:hint="eastAsia" w:ascii="宋体" w:hAnsi="宋体" w:eastAsia="宋体" w:cs="宋体"/>
                <w:sz w:val="24"/>
                <w:szCs w:val="24"/>
              </w:rPr>
              <w:t>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37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家具设计</w:t>
            </w:r>
          </w:p>
        </w:tc>
        <w:tc>
          <w:tcPr>
            <w:tcW w:w="704" w:type="dxa"/>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8"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本课程旨在引领学生掌握家具设计能力，能对家具造型和结构进行方案设计；培养学生根据空间需要、主题元素及材料工艺特点，按照人体工程学及使用需求创造适用方便的家具产品，以胜任家具设计岗位工作。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37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室内陈设设计</w:t>
            </w:r>
          </w:p>
        </w:tc>
        <w:tc>
          <w:tcPr>
            <w:tcW w:w="704" w:type="dxa"/>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8"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本课程旨在引领学生掌握室内陈设设计的特点，根据人的喜好及空间装修进行陈设方案设计；培养学生对空间的整体把控能力，以胜任室内装饰设计岗位工作。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37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 xml:space="preserve">商业空间设计 </w:t>
            </w:r>
          </w:p>
        </w:tc>
        <w:tc>
          <w:tcPr>
            <w:tcW w:w="704" w:type="dxa"/>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5658" w:type="dxa"/>
            <w:vAlign w:val="center"/>
          </w:tcPr>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本课程旨在引领学生掌握商业空间设计能力，能对商业空间设计空间规划，按照人体工程学、人们生活习惯，创造舒适方便的购物空间；培养学生对空间的表现能力和实践能力，以胜任工装设计岗位工作。</w:t>
            </w:r>
          </w:p>
        </w:tc>
      </w:tr>
    </w:tbl>
    <w:p>
      <w:pPr>
        <w:spacing w:line="240" w:lineRule="auto"/>
        <w:rPr>
          <w:rFonts w:hint="eastAsia" w:ascii="宋体" w:hAnsi="宋体" w:eastAsia="宋体" w:cs="宋体"/>
          <w:sz w:val="24"/>
          <w:szCs w:val="24"/>
        </w:rPr>
      </w:pPr>
      <w:r>
        <w:rPr>
          <w:rFonts w:hint="eastAsia" w:ascii="宋体" w:hAnsi="宋体" w:eastAsia="宋体" w:cs="宋体"/>
          <w:sz w:val="24"/>
          <w:szCs w:val="24"/>
        </w:rPr>
        <w:t>（3）实践性教学环节主要毕业设计（论文）等，见表</w:t>
      </w:r>
      <w:r>
        <w:rPr>
          <w:rFonts w:hint="eastAsia" w:ascii="宋体" w:hAnsi="宋体" w:eastAsia="宋体" w:cs="宋体"/>
          <w:sz w:val="24"/>
          <w:szCs w:val="24"/>
          <w:lang w:val="en-US" w:eastAsia="zh-CN"/>
        </w:rPr>
        <w:t>7。</w:t>
      </w:r>
    </w:p>
    <w:p>
      <w:pPr>
        <w:adjustRightInd w:val="0"/>
        <w:snapToGrid w:val="0"/>
        <w:spacing w:line="240" w:lineRule="auto"/>
        <w:ind w:firstLine="480"/>
        <w:jc w:val="center"/>
        <w:rPr>
          <w:rFonts w:hint="eastAsia" w:ascii="宋体" w:hAnsi="宋体" w:eastAsia="宋体" w:cs="宋体"/>
          <w:b/>
          <w:bCs w:val="0"/>
          <w:sz w:val="24"/>
          <w:szCs w:val="24"/>
        </w:rPr>
      </w:pPr>
      <w:r>
        <w:rPr>
          <w:rFonts w:hint="eastAsia" w:ascii="宋体" w:hAnsi="宋体" w:eastAsia="宋体" w:cs="宋体"/>
          <w:b/>
          <w:bCs w:val="0"/>
          <w:sz w:val="24"/>
          <w:szCs w:val="24"/>
        </w:rPr>
        <w:t>表7  专业实践课程设置</w:t>
      </w:r>
    </w:p>
    <w:tbl>
      <w:tblPr>
        <w:tblStyle w:val="10"/>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712"/>
        <w:gridCol w:w="3024"/>
        <w:gridCol w:w="760"/>
        <w:gridCol w:w="716"/>
        <w:gridCol w:w="809"/>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712"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实践课程名称</w:t>
            </w:r>
          </w:p>
        </w:tc>
        <w:tc>
          <w:tcPr>
            <w:tcW w:w="3024"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实训（实习）项目及（或）要求</w:t>
            </w:r>
          </w:p>
        </w:tc>
        <w:tc>
          <w:tcPr>
            <w:tcW w:w="760"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开设</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学期</w:t>
            </w:r>
          </w:p>
        </w:tc>
        <w:tc>
          <w:tcPr>
            <w:tcW w:w="716"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学时</w:t>
            </w:r>
          </w:p>
        </w:tc>
        <w:tc>
          <w:tcPr>
            <w:tcW w:w="809"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学分</w:t>
            </w:r>
          </w:p>
        </w:tc>
        <w:tc>
          <w:tcPr>
            <w:tcW w:w="1051" w:type="dxa"/>
            <w:vAlign w:val="center"/>
          </w:tcPr>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实践</w:t>
            </w:r>
          </w:p>
          <w:p>
            <w:pPr>
              <w:adjustRightInd w:val="0"/>
              <w:snapToGrid w:val="0"/>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71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采风写生</w:t>
            </w:r>
          </w:p>
        </w:tc>
        <w:tc>
          <w:tcPr>
            <w:tcW w:w="3024"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(1)选景与构图训练</w:t>
            </w:r>
          </w:p>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(2)景物表现训练</w:t>
            </w:r>
          </w:p>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(3)综合表现训练</w:t>
            </w:r>
          </w:p>
        </w:tc>
        <w:tc>
          <w:tcPr>
            <w:tcW w:w="760"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71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809"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1051" w:type="dxa"/>
            <w:vAlign w:val="center"/>
          </w:tcPr>
          <w:p>
            <w:pPr>
              <w:widowControl/>
              <w:spacing w:line="240" w:lineRule="auto"/>
              <w:jc w:val="center"/>
              <w:rPr>
                <w:rFonts w:hint="eastAsia" w:ascii="宋体" w:hAnsi="宋体" w:eastAsia="宋体" w:cs="宋体"/>
                <w:sz w:val="24"/>
                <w:szCs w:val="24"/>
              </w:rPr>
            </w:pPr>
            <w:r>
              <w:rPr>
                <w:rFonts w:hint="eastAsia" w:ascii="宋体" w:hAnsi="宋体" w:eastAsia="宋体" w:cs="宋体"/>
                <w:sz w:val="24"/>
                <w:szCs w:val="24"/>
              </w:rPr>
              <w:t>校外实训基地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71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毕业综合实训（设计）</w:t>
            </w:r>
          </w:p>
        </w:tc>
        <w:tc>
          <w:tcPr>
            <w:tcW w:w="3024"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 市场企业考察与调研</w:t>
            </w:r>
          </w:p>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 设计项目选题定位与创意</w:t>
            </w:r>
          </w:p>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(3) 设计创意的形式与草图</w:t>
            </w:r>
          </w:p>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(4) 正式设计方案的确立与模型实物制造</w:t>
            </w:r>
          </w:p>
        </w:tc>
        <w:tc>
          <w:tcPr>
            <w:tcW w:w="760"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5</w:t>
            </w:r>
          </w:p>
        </w:tc>
        <w:tc>
          <w:tcPr>
            <w:tcW w:w="716"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72</w:t>
            </w:r>
          </w:p>
        </w:tc>
        <w:tc>
          <w:tcPr>
            <w:tcW w:w="809"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4.5</w:t>
            </w:r>
          </w:p>
        </w:tc>
        <w:tc>
          <w:tcPr>
            <w:tcW w:w="1051"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3"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712"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顶岗实习</w:t>
            </w:r>
          </w:p>
        </w:tc>
        <w:tc>
          <w:tcPr>
            <w:tcW w:w="3024"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(1)企业文化认识</w:t>
            </w:r>
          </w:p>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(2)熟悉室内设计工作流程</w:t>
            </w:r>
          </w:p>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Cs/>
                <w:kern w:val="0"/>
                <w:sz w:val="24"/>
                <w:szCs w:val="24"/>
              </w:rPr>
              <w:t xml:space="preserve"> 室内设计与施工管理、图纸绘制与三维表现等岗位</w:t>
            </w:r>
            <w:r>
              <w:rPr>
                <w:rFonts w:hint="eastAsia" w:ascii="宋体" w:hAnsi="宋体" w:eastAsia="宋体" w:cs="宋体"/>
                <w:sz w:val="24"/>
                <w:szCs w:val="24"/>
              </w:rPr>
              <w:t>的轮岗实习</w:t>
            </w:r>
          </w:p>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(4)撰写实习记录</w:t>
            </w:r>
          </w:p>
        </w:tc>
        <w:tc>
          <w:tcPr>
            <w:tcW w:w="760"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5/6</w:t>
            </w:r>
          </w:p>
        </w:tc>
        <w:tc>
          <w:tcPr>
            <w:tcW w:w="716" w:type="dxa"/>
            <w:vAlign w:val="center"/>
          </w:tcPr>
          <w:p>
            <w:pPr>
              <w:pStyle w:val="37"/>
              <w:spacing w:line="240" w:lineRule="auto"/>
              <w:rPr>
                <w:rFonts w:hint="eastAsia" w:ascii="宋体" w:hAnsi="宋体" w:eastAsia="宋体" w:cs="宋体"/>
                <w:sz w:val="24"/>
                <w:szCs w:val="24"/>
              </w:rPr>
            </w:pPr>
            <w:r>
              <w:rPr>
                <w:rFonts w:hint="eastAsia" w:ascii="宋体" w:hAnsi="宋体" w:eastAsia="宋体" w:cs="宋体"/>
                <w:sz w:val="24"/>
                <w:szCs w:val="24"/>
              </w:rPr>
              <w:t>432</w:t>
            </w:r>
          </w:p>
        </w:tc>
        <w:tc>
          <w:tcPr>
            <w:tcW w:w="809" w:type="dxa"/>
            <w:vAlign w:val="center"/>
          </w:tcPr>
          <w:p>
            <w:pPr>
              <w:pStyle w:val="2"/>
              <w:spacing w:line="240" w:lineRule="auto"/>
              <w:jc w:val="center"/>
              <w:rPr>
                <w:rFonts w:hint="eastAsia" w:ascii="宋体" w:hAnsi="宋体" w:eastAsia="宋体" w:cs="宋体"/>
                <w:sz w:val="24"/>
                <w:szCs w:val="24"/>
              </w:rPr>
            </w:pPr>
            <w:r>
              <w:rPr>
                <w:rFonts w:hint="eastAsia" w:ascii="宋体" w:hAnsi="宋体" w:eastAsia="宋体" w:cs="宋体"/>
                <w:sz w:val="24"/>
                <w:szCs w:val="24"/>
              </w:rPr>
              <w:t>27</w:t>
            </w:r>
          </w:p>
        </w:tc>
        <w:tc>
          <w:tcPr>
            <w:tcW w:w="1051" w:type="dxa"/>
            <w:vAlign w:val="center"/>
          </w:tcPr>
          <w:p>
            <w:pPr>
              <w:pStyle w:val="2"/>
              <w:spacing w:line="240" w:lineRule="auto"/>
              <w:jc w:val="center"/>
              <w:rPr>
                <w:rFonts w:hint="eastAsia" w:ascii="宋体" w:hAnsi="宋体" w:eastAsia="宋体" w:cs="宋体"/>
                <w:sz w:val="24"/>
                <w:szCs w:val="24"/>
              </w:rPr>
            </w:pPr>
            <w:r>
              <w:rPr>
                <w:rFonts w:hint="eastAsia" w:ascii="宋体" w:hAnsi="宋体" w:eastAsia="宋体" w:cs="宋体"/>
                <w:sz w:val="24"/>
                <w:szCs w:val="24"/>
              </w:rPr>
              <w:t>实习</w:t>
            </w:r>
          </w:p>
          <w:p>
            <w:pPr>
              <w:pStyle w:val="2"/>
              <w:spacing w:line="240" w:lineRule="auto"/>
              <w:jc w:val="center"/>
              <w:rPr>
                <w:rFonts w:hint="eastAsia" w:ascii="宋体" w:hAnsi="宋体" w:eastAsia="宋体" w:cs="宋体"/>
                <w:sz w:val="24"/>
                <w:szCs w:val="24"/>
              </w:rPr>
            </w:pPr>
            <w:r>
              <w:rPr>
                <w:rFonts w:hint="eastAsia" w:ascii="宋体" w:hAnsi="宋体" w:eastAsia="宋体" w:cs="宋体"/>
                <w:sz w:val="24"/>
                <w:szCs w:val="24"/>
              </w:rPr>
              <w:t>基地</w:t>
            </w:r>
          </w:p>
        </w:tc>
      </w:tr>
    </w:tbl>
    <w:p>
      <w:pPr>
        <w:adjustRightInd w:val="0"/>
        <w:snapToGrid w:val="0"/>
        <w:spacing w:line="240" w:lineRule="auto"/>
        <w:ind w:firstLine="480"/>
        <w:jc w:val="center"/>
        <w:rPr>
          <w:rFonts w:hint="eastAsia" w:ascii="宋体" w:hAnsi="宋体" w:eastAsia="宋体" w:cs="宋体"/>
          <w:sz w:val="24"/>
          <w:szCs w:val="24"/>
        </w:rPr>
      </w:pPr>
    </w:p>
    <w:p>
      <w:pPr>
        <w:adjustRightInd w:val="0"/>
        <w:snapToGrid w:val="0"/>
        <w:spacing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2．专业选修课程</w:t>
      </w:r>
    </w:p>
    <w:p>
      <w:pPr>
        <w:adjustRightInd w:val="0"/>
        <w:snapToGrid w:val="0"/>
        <w:spacing w:line="24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专业选修课原则上要求学生选修不少于16学分的课程，开设在2-5学期,具体见附表</w:t>
      </w:r>
      <w:r>
        <w:rPr>
          <w:rFonts w:hint="eastAsia" w:ascii="宋体" w:hAnsi="宋体" w:eastAsia="宋体" w:cs="宋体"/>
          <w:sz w:val="24"/>
          <w:szCs w:val="24"/>
          <w:lang w:val="en-US" w:eastAsia="zh-CN"/>
        </w:rPr>
        <w:t>8。</w:t>
      </w:r>
    </w:p>
    <w:p>
      <w:pPr>
        <w:adjustRightInd w:val="0"/>
        <w:snapToGrid w:val="0"/>
        <w:spacing w:line="240" w:lineRule="auto"/>
        <w:ind w:firstLine="480"/>
        <w:jc w:val="center"/>
        <w:rPr>
          <w:rFonts w:hint="eastAsia" w:ascii="宋体" w:hAnsi="宋体" w:eastAsia="宋体" w:cs="宋体"/>
          <w:b/>
          <w:sz w:val="24"/>
          <w:szCs w:val="24"/>
        </w:rPr>
      </w:pPr>
      <w:r>
        <w:rPr>
          <w:rFonts w:hint="eastAsia" w:ascii="宋体" w:hAnsi="宋体" w:eastAsia="宋体" w:cs="宋体"/>
          <w:b/>
          <w:sz w:val="24"/>
          <w:szCs w:val="24"/>
        </w:rPr>
        <w:t>表</w:t>
      </w:r>
      <w:r>
        <w:rPr>
          <w:rFonts w:hint="eastAsia" w:ascii="宋体" w:hAnsi="宋体" w:eastAsia="宋体" w:cs="宋体"/>
          <w:b/>
          <w:sz w:val="24"/>
          <w:szCs w:val="24"/>
          <w:lang w:val="en-US" w:eastAsia="zh-CN"/>
        </w:rPr>
        <w:t>8</w:t>
      </w:r>
      <w:r>
        <w:rPr>
          <w:rFonts w:hint="eastAsia" w:ascii="宋体" w:hAnsi="宋体" w:eastAsia="宋体" w:cs="宋体"/>
          <w:b/>
          <w:sz w:val="24"/>
          <w:szCs w:val="24"/>
        </w:rPr>
        <w:t xml:space="preserve">   专业选修课一览表</w:t>
      </w:r>
    </w:p>
    <w:tbl>
      <w:tblPr>
        <w:tblStyle w:val="10"/>
        <w:tblW w:w="9394" w:type="dxa"/>
        <w:tblInd w:w="91" w:type="dxa"/>
        <w:tblLayout w:type="fixed"/>
        <w:tblCellMar>
          <w:top w:w="0" w:type="dxa"/>
          <w:left w:w="108" w:type="dxa"/>
          <w:bottom w:w="0" w:type="dxa"/>
          <w:right w:w="108" w:type="dxa"/>
        </w:tblCellMar>
      </w:tblPr>
      <w:tblGrid>
        <w:gridCol w:w="1536"/>
        <w:gridCol w:w="1700"/>
        <w:gridCol w:w="906"/>
        <w:gridCol w:w="900"/>
        <w:gridCol w:w="540"/>
        <w:gridCol w:w="720"/>
        <w:gridCol w:w="836"/>
        <w:gridCol w:w="836"/>
        <w:gridCol w:w="584"/>
        <w:gridCol w:w="836"/>
      </w:tblGrid>
      <w:tr>
        <w:tblPrEx>
          <w:tblCellMar>
            <w:top w:w="0" w:type="dxa"/>
            <w:left w:w="108" w:type="dxa"/>
            <w:bottom w:w="0" w:type="dxa"/>
            <w:right w:w="108" w:type="dxa"/>
          </w:tblCellMar>
        </w:tblPrEx>
        <w:trPr>
          <w:trHeight w:val="506" w:hRule="atLeast"/>
        </w:trPr>
        <w:tc>
          <w:tcPr>
            <w:tcW w:w="153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课程代码</w:t>
            </w:r>
          </w:p>
        </w:tc>
        <w:tc>
          <w:tcPr>
            <w:tcW w:w="170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课程名称</w:t>
            </w:r>
          </w:p>
        </w:tc>
        <w:tc>
          <w:tcPr>
            <w:tcW w:w="906" w:type="dxa"/>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课程</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考核方式</w:t>
            </w:r>
          </w:p>
        </w:tc>
        <w:tc>
          <w:tcPr>
            <w:tcW w:w="5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基准学时</w:t>
            </w:r>
          </w:p>
        </w:tc>
        <w:tc>
          <w:tcPr>
            <w:tcW w:w="1556"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学时结构</w:t>
            </w:r>
          </w:p>
        </w:tc>
        <w:tc>
          <w:tcPr>
            <w:tcW w:w="83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学分</w:t>
            </w:r>
          </w:p>
        </w:tc>
        <w:tc>
          <w:tcPr>
            <w:tcW w:w="58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开设学期</w:t>
            </w:r>
          </w:p>
        </w:tc>
        <w:tc>
          <w:tcPr>
            <w:tcW w:w="83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270" w:hRule="atLeast"/>
        </w:trPr>
        <w:tc>
          <w:tcPr>
            <w:tcW w:w="15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906" w:type="dxa"/>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性质</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kern w:val="0"/>
                <w:sz w:val="24"/>
                <w:szCs w:val="24"/>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kern w:val="0"/>
                <w:sz w:val="24"/>
                <w:szCs w:val="24"/>
              </w:rPr>
            </w:pPr>
          </w:p>
        </w:tc>
        <w:tc>
          <w:tcPr>
            <w:tcW w:w="720" w:type="dxa"/>
            <w:tcBorders>
              <w:top w:val="nil"/>
              <w:left w:val="nil"/>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理论</w:t>
            </w:r>
          </w:p>
        </w:tc>
        <w:tc>
          <w:tcPr>
            <w:tcW w:w="836" w:type="dxa"/>
            <w:tcBorders>
              <w:top w:val="nil"/>
              <w:left w:val="nil"/>
              <w:bottom w:val="single" w:color="auto" w:sz="4" w:space="0"/>
              <w:right w:val="single" w:color="auto" w:sz="4" w:space="0"/>
            </w:tcBorders>
            <w:noWrap/>
            <w:vAlign w:val="center"/>
          </w:tcPr>
          <w:p>
            <w:pPr>
              <w:widowControl/>
              <w:spacing w:line="24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实践</w:t>
            </w: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6117070127x</w:t>
            </w:r>
          </w:p>
        </w:tc>
        <w:tc>
          <w:tcPr>
            <w:tcW w:w="1700" w:type="dxa"/>
            <w:tcBorders>
              <w:top w:val="nil"/>
              <w:left w:val="nil"/>
              <w:bottom w:val="nil"/>
              <w:right w:val="nil"/>
            </w:tcBorders>
            <w:vAlign w:val="center"/>
          </w:tcPr>
          <w:p>
            <w:pPr>
              <w:widowControl/>
              <w:spacing w:line="240" w:lineRule="auto"/>
              <w:jc w:val="left"/>
              <w:rPr>
                <w:rFonts w:hint="eastAsia" w:ascii="宋体" w:hAnsi="宋体" w:eastAsia="宋体" w:cs="宋体"/>
                <w:color w:val="000000"/>
                <w:kern w:val="0"/>
                <w:sz w:val="24"/>
                <w:szCs w:val="24"/>
              </w:rPr>
            </w:pPr>
            <w:r>
              <w:rPr>
                <w:rFonts w:hint="eastAsia" w:ascii="宋体" w:hAnsi="宋体" w:eastAsia="宋体" w:cs="宋体"/>
                <w:sz w:val="24"/>
                <w:szCs w:val="24"/>
              </w:rPr>
              <w:t>设计认知</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83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3选2</w:t>
            </w: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6117070136x</w:t>
            </w:r>
          </w:p>
        </w:tc>
        <w:tc>
          <w:tcPr>
            <w:tcW w:w="17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室内设计原理</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6117070202x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工艺美术史</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6117070137x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室内设计风水学</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83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4选2</w:t>
            </w: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6517070301x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编排设计</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kern w:val="0"/>
                <w:sz w:val="24"/>
                <w:szCs w:val="24"/>
                <w:lang w:val="en-US" w:eastAsia="zh-CN"/>
              </w:rPr>
              <w:t>6517070306x</w:t>
            </w:r>
          </w:p>
        </w:tc>
        <w:tc>
          <w:tcPr>
            <w:tcW w:w="17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制图设计(Photoshop)</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6117070301x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建筑图案</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spacing w:line="240" w:lineRule="auto"/>
              <w:jc w:val="center"/>
              <w:textAlignment w:val="bottom"/>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6117070138x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环境视觉设计</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83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4选2</w:t>
            </w: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spacing w:line="240" w:lineRule="auto"/>
              <w:jc w:val="center"/>
              <w:textAlignment w:val="bottom"/>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6117070139x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企业形象设计</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spacing w:line="240" w:lineRule="auto"/>
              <w:jc w:val="center"/>
              <w:textAlignment w:val="bottom"/>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6117070210x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中国画</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spacing w:line="240" w:lineRule="auto"/>
              <w:jc w:val="center"/>
              <w:textAlignment w:val="bottom"/>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6517070206x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书法</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spacing w:line="240" w:lineRule="auto"/>
              <w:jc w:val="center"/>
              <w:textAlignment w:val="bottom"/>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6117070140x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制图设计（Sketchup）</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83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3选2</w:t>
            </w: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spacing w:line="240" w:lineRule="auto"/>
              <w:jc w:val="center"/>
              <w:textAlignment w:val="bottom"/>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6117070114x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陶艺基础</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70" w:hRule="atLeast"/>
        </w:trPr>
        <w:tc>
          <w:tcPr>
            <w:tcW w:w="1536" w:type="dxa"/>
            <w:tcBorders>
              <w:top w:val="nil"/>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spacing w:line="240" w:lineRule="auto"/>
              <w:jc w:val="center"/>
              <w:textAlignment w:val="bottom"/>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6517070304x</w:t>
            </w:r>
          </w:p>
        </w:tc>
        <w:tc>
          <w:tcPr>
            <w:tcW w:w="1700" w:type="dxa"/>
            <w:tcBorders>
              <w:top w:val="nil"/>
              <w:left w:val="nil"/>
              <w:bottom w:val="single" w:color="auto" w:sz="4" w:space="0"/>
              <w:right w:val="single" w:color="auto" w:sz="4" w:space="0"/>
            </w:tcBorders>
            <w:shd w:val="clear" w:color="auto" w:fill="FFFFFF"/>
            <w:vAlign w:val="center"/>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谈单技巧和报价</w:t>
            </w:r>
          </w:p>
        </w:tc>
        <w:tc>
          <w:tcPr>
            <w:tcW w:w="906"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选</w:t>
            </w:r>
          </w:p>
        </w:tc>
        <w:tc>
          <w:tcPr>
            <w:tcW w:w="90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4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c>
          <w:tcPr>
            <w:tcW w:w="836" w:type="dxa"/>
            <w:tcBorders>
              <w:top w:val="nil"/>
              <w:left w:val="nil"/>
              <w:bottom w:val="single" w:color="auto" w:sz="4" w:space="0"/>
              <w:right w:val="single" w:color="auto" w:sz="4" w:space="0"/>
            </w:tcBorders>
            <w:shd w:val="clear" w:color="auto" w:fill="FFFFFF"/>
            <w:vAlign w:val="center"/>
          </w:tcPr>
          <w:p>
            <w:pPr>
              <w:widowControl/>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4"/>
                <w:szCs w:val="24"/>
              </w:rPr>
            </w:pPr>
          </w:p>
        </w:tc>
      </w:tr>
    </w:tbl>
    <w:p>
      <w:pPr>
        <w:adjustRightInd w:val="0"/>
        <w:snapToGrid w:val="0"/>
        <w:spacing w:line="240" w:lineRule="auto"/>
        <w:ind w:firstLine="480"/>
        <w:jc w:val="center"/>
        <w:rPr>
          <w:rFonts w:hint="eastAsia" w:ascii="宋体" w:hAnsi="宋体" w:eastAsia="宋体" w:cs="宋体"/>
          <w:b/>
          <w:sz w:val="24"/>
          <w:szCs w:val="24"/>
        </w:rPr>
      </w:pPr>
    </w:p>
    <w:p>
      <w:pPr>
        <w:adjustRightInd w:val="0"/>
        <w:snapToGrid w:val="0"/>
        <w:spacing w:beforeLines="50" w:line="240" w:lineRule="auto"/>
        <w:ind w:firstLine="482"/>
        <w:rPr>
          <w:rFonts w:hint="eastAsia" w:ascii="宋体" w:hAnsi="宋体" w:eastAsia="宋体" w:cs="宋体"/>
          <w:b/>
          <w:sz w:val="24"/>
          <w:szCs w:val="24"/>
        </w:rPr>
      </w:pPr>
      <w:r>
        <w:rPr>
          <w:rFonts w:hint="eastAsia" w:ascii="宋体" w:hAnsi="宋体" w:eastAsia="宋体" w:cs="宋体"/>
          <w:b/>
          <w:sz w:val="24"/>
          <w:szCs w:val="24"/>
        </w:rPr>
        <w:t>七、教学进程总体安排</w:t>
      </w:r>
    </w:p>
    <w:p>
      <w:pPr>
        <w:adjustRightInd w:val="0"/>
        <w:snapToGrid w:val="0"/>
        <w:spacing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（一）</w:t>
      </w:r>
      <w:r>
        <w:rPr>
          <w:rFonts w:hint="eastAsia" w:ascii="宋体" w:hAnsi="宋体" w:eastAsia="宋体" w:cs="宋体"/>
          <w:b/>
          <w:sz w:val="24"/>
          <w:szCs w:val="24"/>
          <w:lang w:eastAsia="zh-CN"/>
        </w:rPr>
        <w:t>艺术设计</w:t>
      </w:r>
      <w:r>
        <w:rPr>
          <w:rFonts w:hint="eastAsia" w:ascii="宋体" w:hAnsi="宋体" w:eastAsia="宋体" w:cs="宋体"/>
          <w:b/>
          <w:sz w:val="24"/>
          <w:szCs w:val="24"/>
        </w:rPr>
        <w:t>专业教学计划安排表（见附录1）</w:t>
      </w:r>
    </w:p>
    <w:p>
      <w:pPr>
        <w:adjustRightInd w:val="0"/>
        <w:snapToGrid w:val="0"/>
        <w:spacing w:line="240" w:lineRule="auto"/>
        <w:ind w:firstLine="480"/>
        <w:rPr>
          <w:rFonts w:hint="eastAsia" w:ascii="宋体" w:hAnsi="宋体" w:eastAsia="宋体" w:cs="宋体"/>
          <w:b/>
          <w:sz w:val="24"/>
          <w:szCs w:val="24"/>
        </w:rPr>
      </w:pPr>
      <w:r>
        <w:rPr>
          <w:rFonts w:hint="eastAsia" w:ascii="宋体" w:hAnsi="宋体" w:eastAsia="宋体" w:cs="宋体"/>
          <w:b/>
          <w:sz w:val="24"/>
          <w:szCs w:val="24"/>
        </w:rPr>
        <w:t>（二）</w:t>
      </w:r>
      <w:r>
        <w:rPr>
          <w:rFonts w:hint="eastAsia" w:ascii="宋体" w:hAnsi="宋体" w:eastAsia="宋体" w:cs="宋体"/>
          <w:b/>
          <w:sz w:val="24"/>
          <w:szCs w:val="24"/>
          <w:lang w:eastAsia="zh-CN"/>
        </w:rPr>
        <w:t>艺术设计</w:t>
      </w:r>
      <w:r>
        <w:rPr>
          <w:rFonts w:hint="eastAsia" w:ascii="宋体" w:hAnsi="宋体" w:eastAsia="宋体" w:cs="宋体"/>
          <w:b/>
          <w:sz w:val="24"/>
          <w:szCs w:val="24"/>
        </w:rPr>
        <w:t>专业教学周数表（见附录2）</w:t>
      </w:r>
    </w:p>
    <w:p>
      <w:pPr>
        <w:overflowPunct w:val="0"/>
        <w:adjustRightInd w:val="0"/>
        <w:spacing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八、实施保障</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（一）师资队伍</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资队伍包括专任教师和兼职教师。本专业按学生数与专任教师数（不含公共课）比例不高于25：1的标准配备专任师资。专业带头人原则上应具有高级职称。“双师型”教师占专业课教师的比例一般应不低于60%。本专业的专业课程教师应为大学本科以上学历，其中年龄在40岁以下的教师应具有研究生学历或硕士以上学位。本专业教师中，具有中高级技术职称的占70%以上，其中高级技术职称的教师占20%以上。</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兼职教师要求具有三年以上广告设计及相关岗位工作经历，具有中级以上专业技术职务，并具有丰富的实际工作经验。</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本专业的专业课程教师（含实训指导教师），应具备良好的职业道德，掌握现代信息化教学手段，以学生为本，关心与关爱所有学生，严谨治学，认真执教，努力做到教书育人。</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（二）教学设施</w:t>
      </w:r>
    </w:p>
    <w:p>
      <w:pPr>
        <w:adjustRightInd w:val="0"/>
        <w:snapToGrid w:val="0"/>
        <w:spacing w:line="240" w:lineRule="auto"/>
        <w:ind w:firstLine="480"/>
        <w:rPr>
          <w:rFonts w:ascii="Cambria Math" w:eastAsia="Times New Roman"/>
          <w:sz w:val="24"/>
          <w:szCs w:val="24"/>
        </w:rPr>
      </w:pPr>
      <w:r>
        <w:rPr>
          <w:rFonts w:hint="eastAsia" w:ascii="Cambria Math" w:hAnsi="Cambria Math"/>
          <w:sz w:val="24"/>
          <w:szCs w:val="24"/>
        </w:rPr>
        <w:t>主要包括校内实训室、校外实习实训基地、信息化教学要求等方面。</w:t>
      </w:r>
    </w:p>
    <w:p>
      <w:pPr>
        <w:adjustRightInd w:val="0"/>
        <w:snapToGrid w:val="0"/>
        <w:spacing w:line="240" w:lineRule="auto"/>
        <w:ind w:firstLine="480"/>
        <w:rPr>
          <w:rFonts w:ascii="Cambria Math" w:eastAsia="Times New Roman"/>
          <w:sz w:val="24"/>
          <w:szCs w:val="24"/>
        </w:rPr>
      </w:pPr>
      <w:r>
        <w:rPr>
          <w:rFonts w:ascii="Cambria Math" w:hAnsi="Cambria Math"/>
          <w:sz w:val="24"/>
          <w:szCs w:val="24"/>
        </w:rPr>
        <w:t>1</w:t>
      </w:r>
      <w:r>
        <w:rPr>
          <w:rFonts w:hint="eastAsia" w:ascii="Cambria Math" w:hAnsi="Cambria Math"/>
          <w:sz w:val="24"/>
          <w:szCs w:val="24"/>
        </w:rPr>
        <w:t>．校内实训室（基地）</w:t>
      </w:r>
    </w:p>
    <w:p>
      <w:pPr>
        <w:spacing w:line="240" w:lineRule="auto"/>
        <w:ind w:firstLine="482" w:firstLineChars="200"/>
        <w:jc w:val="center"/>
        <w:rPr>
          <w:rFonts w:ascii="宋体"/>
          <w:b/>
          <w:sz w:val="24"/>
          <w:szCs w:val="24"/>
        </w:rPr>
      </w:pPr>
      <w:r>
        <w:rPr>
          <w:rFonts w:hint="eastAsia" w:ascii="Cambria Math" w:hAnsi="Cambria Math"/>
          <w:b/>
          <w:sz w:val="24"/>
          <w:szCs w:val="24"/>
          <w:lang w:eastAsia="zh-CN"/>
        </w:rPr>
        <w:t>艺术设计</w:t>
      </w:r>
      <w:r>
        <w:rPr>
          <w:rFonts w:hint="eastAsia" w:ascii="Cambria Math" w:hAnsi="Cambria Math"/>
          <w:b/>
          <w:sz w:val="24"/>
          <w:szCs w:val="24"/>
        </w:rPr>
        <w:t>实</w:t>
      </w:r>
      <w:r>
        <w:rPr>
          <w:rFonts w:hint="eastAsia" w:ascii="宋体" w:hAnsi="宋体"/>
          <w:b/>
          <w:sz w:val="24"/>
          <w:szCs w:val="24"/>
        </w:rPr>
        <w:t>训室</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89"/>
        <w:gridCol w:w="2766"/>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2"/>
          </w:tcPr>
          <w:p>
            <w:pPr>
              <w:spacing w:line="240" w:lineRule="auto"/>
              <w:rPr>
                <w:rFonts w:ascii="宋体"/>
                <w:sz w:val="24"/>
                <w:szCs w:val="24"/>
              </w:rPr>
            </w:pPr>
            <w:r>
              <w:rPr>
                <w:rFonts w:hint="eastAsia" w:ascii="宋体" w:hAnsi="宋体"/>
                <w:sz w:val="24"/>
                <w:szCs w:val="24"/>
              </w:rPr>
              <w:t>实训室名称</w:t>
            </w:r>
          </w:p>
        </w:tc>
        <w:tc>
          <w:tcPr>
            <w:tcW w:w="2766" w:type="dxa"/>
          </w:tcPr>
          <w:p>
            <w:pPr>
              <w:spacing w:line="240" w:lineRule="auto"/>
              <w:rPr>
                <w:rFonts w:ascii="宋体"/>
                <w:sz w:val="24"/>
                <w:szCs w:val="24"/>
              </w:rPr>
            </w:pPr>
            <w:r>
              <w:rPr>
                <w:rFonts w:hint="eastAsia" w:ascii="宋体" w:hAnsi="宋体"/>
                <w:sz w:val="24"/>
                <w:szCs w:val="24"/>
                <w:lang w:eastAsia="zh-CN"/>
              </w:rPr>
              <w:t>艺术设计</w:t>
            </w:r>
            <w:r>
              <w:rPr>
                <w:rFonts w:hint="eastAsia" w:ascii="宋体" w:hAnsi="宋体"/>
                <w:sz w:val="24"/>
                <w:szCs w:val="24"/>
              </w:rPr>
              <w:t>实训室</w:t>
            </w:r>
          </w:p>
        </w:tc>
        <w:tc>
          <w:tcPr>
            <w:tcW w:w="4260" w:type="dxa"/>
            <w:gridSpan w:val="2"/>
          </w:tcPr>
          <w:p>
            <w:pPr>
              <w:spacing w:line="240" w:lineRule="auto"/>
              <w:rPr>
                <w:rFonts w:ascii="宋体"/>
                <w:color w:val="FF0000"/>
                <w:sz w:val="24"/>
                <w:szCs w:val="24"/>
              </w:rPr>
            </w:pPr>
            <w:r>
              <w:rPr>
                <w:rFonts w:hint="eastAsia" w:ascii="宋体" w:hAnsi="宋体"/>
                <w:sz w:val="24"/>
                <w:szCs w:val="24"/>
              </w:rPr>
              <w:t>面积要求：</w:t>
            </w:r>
            <w:r>
              <w:rPr>
                <w:rFonts w:ascii="宋体" w:hAnsi="宋体"/>
                <w:sz w:val="24"/>
                <w:szCs w:val="24"/>
              </w:rPr>
              <w:t xml:space="preserve">  160m</w:t>
            </w:r>
            <w:r>
              <w:rPr>
                <w:rFonts w:ascii="宋体" w:hAnsi="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hint="eastAsia" w:ascii="宋体" w:hAnsi="宋体"/>
                <w:sz w:val="24"/>
                <w:szCs w:val="24"/>
              </w:rPr>
              <w:t>序号</w:t>
            </w:r>
          </w:p>
        </w:tc>
        <w:tc>
          <w:tcPr>
            <w:tcW w:w="3455" w:type="dxa"/>
            <w:gridSpan w:val="2"/>
          </w:tcPr>
          <w:p>
            <w:pPr>
              <w:spacing w:line="240" w:lineRule="auto"/>
              <w:jc w:val="center"/>
              <w:rPr>
                <w:rFonts w:ascii="宋体"/>
                <w:sz w:val="24"/>
                <w:szCs w:val="24"/>
              </w:rPr>
            </w:pPr>
            <w:r>
              <w:rPr>
                <w:rFonts w:hint="eastAsia" w:ascii="宋体" w:hAnsi="宋体"/>
                <w:sz w:val="24"/>
                <w:szCs w:val="24"/>
              </w:rPr>
              <w:t>核心设备及材料</w:t>
            </w:r>
          </w:p>
        </w:tc>
        <w:tc>
          <w:tcPr>
            <w:tcW w:w="2130" w:type="dxa"/>
          </w:tcPr>
          <w:p>
            <w:pPr>
              <w:spacing w:line="240" w:lineRule="auto"/>
              <w:jc w:val="center"/>
              <w:rPr>
                <w:rFonts w:ascii="宋体"/>
                <w:sz w:val="24"/>
                <w:szCs w:val="24"/>
              </w:rPr>
            </w:pPr>
            <w:r>
              <w:rPr>
                <w:rFonts w:hint="eastAsia" w:ascii="宋体" w:hAnsi="宋体"/>
                <w:sz w:val="24"/>
                <w:szCs w:val="24"/>
              </w:rPr>
              <w:t>数量要求</w:t>
            </w:r>
          </w:p>
        </w:tc>
        <w:tc>
          <w:tcPr>
            <w:tcW w:w="2130" w:type="dxa"/>
          </w:tcPr>
          <w:p>
            <w:pPr>
              <w:spacing w:line="240" w:lineRule="auto"/>
              <w:jc w:val="center"/>
              <w:rPr>
                <w:rFonts w:asci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ascii="宋体" w:hAnsi="宋体"/>
                <w:sz w:val="24"/>
                <w:szCs w:val="24"/>
              </w:rPr>
              <w:t>1</w:t>
            </w:r>
          </w:p>
        </w:tc>
        <w:tc>
          <w:tcPr>
            <w:tcW w:w="3455" w:type="dxa"/>
            <w:gridSpan w:val="2"/>
          </w:tcPr>
          <w:p>
            <w:pPr>
              <w:spacing w:line="240" w:lineRule="auto"/>
              <w:jc w:val="center"/>
              <w:rPr>
                <w:rFonts w:ascii="宋体"/>
                <w:sz w:val="24"/>
                <w:szCs w:val="24"/>
              </w:rPr>
            </w:pPr>
            <w:r>
              <w:rPr>
                <w:rFonts w:hint="eastAsia" w:ascii="宋体" w:hAnsi="宋体"/>
                <w:sz w:val="24"/>
                <w:szCs w:val="24"/>
              </w:rPr>
              <w:t>组合电脑</w:t>
            </w:r>
          </w:p>
        </w:tc>
        <w:tc>
          <w:tcPr>
            <w:tcW w:w="2130" w:type="dxa"/>
          </w:tcPr>
          <w:p>
            <w:pPr>
              <w:spacing w:line="240" w:lineRule="auto"/>
              <w:jc w:val="center"/>
              <w:rPr>
                <w:rFonts w:ascii="宋体"/>
                <w:sz w:val="24"/>
                <w:szCs w:val="24"/>
              </w:rPr>
            </w:pPr>
            <w:r>
              <w:rPr>
                <w:rFonts w:ascii="宋体" w:hAnsi="宋体"/>
                <w:sz w:val="24"/>
                <w:szCs w:val="24"/>
              </w:rPr>
              <w:t>40</w:t>
            </w:r>
          </w:p>
        </w:tc>
        <w:tc>
          <w:tcPr>
            <w:tcW w:w="2130" w:type="dxa"/>
          </w:tcPr>
          <w:p>
            <w:pPr>
              <w:spacing w:line="24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ascii="宋体" w:hAnsi="宋体"/>
                <w:sz w:val="24"/>
                <w:szCs w:val="24"/>
              </w:rPr>
              <w:t>2</w:t>
            </w:r>
          </w:p>
        </w:tc>
        <w:tc>
          <w:tcPr>
            <w:tcW w:w="3455" w:type="dxa"/>
            <w:gridSpan w:val="2"/>
          </w:tcPr>
          <w:p>
            <w:pPr>
              <w:spacing w:line="240" w:lineRule="auto"/>
              <w:jc w:val="center"/>
              <w:rPr>
                <w:rFonts w:ascii="宋体"/>
                <w:sz w:val="24"/>
                <w:szCs w:val="24"/>
              </w:rPr>
            </w:pPr>
            <w:r>
              <w:rPr>
                <w:rFonts w:hint="eastAsia" w:ascii="宋体" w:hAnsi="宋体"/>
                <w:sz w:val="24"/>
                <w:szCs w:val="24"/>
              </w:rPr>
              <w:t>课桌椅</w:t>
            </w:r>
          </w:p>
        </w:tc>
        <w:tc>
          <w:tcPr>
            <w:tcW w:w="2130" w:type="dxa"/>
          </w:tcPr>
          <w:p>
            <w:pPr>
              <w:spacing w:line="240" w:lineRule="auto"/>
              <w:jc w:val="center"/>
              <w:rPr>
                <w:rFonts w:ascii="宋体"/>
                <w:sz w:val="24"/>
                <w:szCs w:val="24"/>
              </w:rPr>
            </w:pPr>
            <w:r>
              <w:rPr>
                <w:rFonts w:ascii="宋体" w:hAnsi="宋体"/>
                <w:sz w:val="24"/>
                <w:szCs w:val="24"/>
              </w:rPr>
              <w:t>40</w:t>
            </w:r>
          </w:p>
        </w:tc>
        <w:tc>
          <w:tcPr>
            <w:tcW w:w="2130" w:type="dxa"/>
          </w:tcPr>
          <w:p>
            <w:pPr>
              <w:spacing w:line="24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ascii="宋体" w:hAnsi="宋体"/>
                <w:sz w:val="24"/>
                <w:szCs w:val="24"/>
              </w:rPr>
              <w:t>3</w:t>
            </w:r>
          </w:p>
        </w:tc>
        <w:tc>
          <w:tcPr>
            <w:tcW w:w="3455" w:type="dxa"/>
            <w:gridSpan w:val="2"/>
          </w:tcPr>
          <w:p>
            <w:pPr>
              <w:spacing w:line="240" w:lineRule="auto"/>
              <w:jc w:val="center"/>
              <w:rPr>
                <w:rFonts w:ascii="宋体"/>
                <w:sz w:val="24"/>
                <w:szCs w:val="24"/>
              </w:rPr>
            </w:pPr>
            <w:r>
              <w:rPr>
                <w:rFonts w:hint="eastAsia" w:ascii="宋体" w:hAnsi="宋体"/>
                <w:sz w:val="24"/>
                <w:szCs w:val="24"/>
              </w:rPr>
              <w:t>网络</w:t>
            </w:r>
          </w:p>
        </w:tc>
        <w:tc>
          <w:tcPr>
            <w:tcW w:w="2130" w:type="dxa"/>
          </w:tcPr>
          <w:p>
            <w:pPr>
              <w:spacing w:line="240" w:lineRule="auto"/>
              <w:jc w:val="center"/>
              <w:rPr>
                <w:rFonts w:ascii="宋体"/>
                <w:sz w:val="24"/>
                <w:szCs w:val="24"/>
              </w:rPr>
            </w:pPr>
            <w:r>
              <w:rPr>
                <w:rFonts w:ascii="宋体" w:hAnsi="宋体"/>
                <w:sz w:val="24"/>
                <w:szCs w:val="24"/>
              </w:rPr>
              <w:t>1</w:t>
            </w:r>
          </w:p>
        </w:tc>
        <w:tc>
          <w:tcPr>
            <w:tcW w:w="2130" w:type="dxa"/>
          </w:tcPr>
          <w:p>
            <w:pPr>
              <w:spacing w:line="24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ascii="宋体" w:hAnsi="宋体"/>
                <w:sz w:val="24"/>
                <w:szCs w:val="24"/>
              </w:rPr>
              <w:t>4</w:t>
            </w:r>
          </w:p>
        </w:tc>
        <w:tc>
          <w:tcPr>
            <w:tcW w:w="3455" w:type="dxa"/>
            <w:gridSpan w:val="2"/>
          </w:tcPr>
          <w:p>
            <w:pPr>
              <w:spacing w:line="240" w:lineRule="auto"/>
              <w:jc w:val="center"/>
              <w:rPr>
                <w:rFonts w:ascii="宋体"/>
                <w:sz w:val="24"/>
                <w:szCs w:val="24"/>
              </w:rPr>
            </w:pPr>
            <w:r>
              <w:rPr>
                <w:rFonts w:hint="eastAsia" w:ascii="宋体" w:hAnsi="宋体"/>
                <w:sz w:val="24"/>
                <w:szCs w:val="24"/>
              </w:rPr>
              <w:t>打印机及耗材</w:t>
            </w:r>
          </w:p>
        </w:tc>
        <w:tc>
          <w:tcPr>
            <w:tcW w:w="2130" w:type="dxa"/>
          </w:tcPr>
          <w:p>
            <w:pPr>
              <w:spacing w:line="240" w:lineRule="auto"/>
              <w:jc w:val="center"/>
              <w:rPr>
                <w:rFonts w:ascii="宋体"/>
                <w:sz w:val="24"/>
                <w:szCs w:val="24"/>
              </w:rPr>
            </w:pPr>
            <w:r>
              <w:rPr>
                <w:rFonts w:ascii="宋体" w:hAnsi="宋体"/>
                <w:sz w:val="24"/>
                <w:szCs w:val="24"/>
              </w:rPr>
              <w:t>1</w:t>
            </w:r>
          </w:p>
        </w:tc>
        <w:tc>
          <w:tcPr>
            <w:tcW w:w="2130" w:type="dxa"/>
          </w:tcPr>
          <w:p>
            <w:pPr>
              <w:spacing w:line="24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ascii="宋体" w:hAnsi="宋体"/>
                <w:sz w:val="24"/>
                <w:szCs w:val="24"/>
              </w:rPr>
              <w:t>5</w:t>
            </w:r>
          </w:p>
        </w:tc>
        <w:tc>
          <w:tcPr>
            <w:tcW w:w="3455" w:type="dxa"/>
            <w:gridSpan w:val="2"/>
          </w:tcPr>
          <w:p>
            <w:pPr>
              <w:spacing w:line="240" w:lineRule="auto"/>
              <w:jc w:val="center"/>
              <w:rPr>
                <w:rFonts w:ascii="宋体"/>
                <w:sz w:val="24"/>
                <w:szCs w:val="24"/>
              </w:rPr>
            </w:pPr>
            <w:r>
              <w:rPr>
                <w:rFonts w:hint="eastAsia" w:ascii="宋体" w:hAnsi="宋体"/>
                <w:sz w:val="24"/>
                <w:szCs w:val="24"/>
              </w:rPr>
              <w:t>多媒体教学工具</w:t>
            </w:r>
          </w:p>
        </w:tc>
        <w:tc>
          <w:tcPr>
            <w:tcW w:w="2130" w:type="dxa"/>
          </w:tcPr>
          <w:p>
            <w:pPr>
              <w:spacing w:line="240" w:lineRule="auto"/>
              <w:jc w:val="center"/>
              <w:rPr>
                <w:rFonts w:ascii="宋体"/>
                <w:sz w:val="24"/>
                <w:szCs w:val="24"/>
              </w:rPr>
            </w:pPr>
            <w:r>
              <w:rPr>
                <w:rFonts w:ascii="宋体" w:hAnsi="宋体"/>
                <w:sz w:val="24"/>
                <w:szCs w:val="24"/>
              </w:rPr>
              <w:t>1</w:t>
            </w:r>
          </w:p>
        </w:tc>
        <w:tc>
          <w:tcPr>
            <w:tcW w:w="2130" w:type="dxa"/>
          </w:tcPr>
          <w:p>
            <w:pPr>
              <w:spacing w:line="240" w:lineRule="auto"/>
              <w:jc w:val="center"/>
              <w:rPr>
                <w:rFonts w:ascii="宋体"/>
                <w:sz w:val="24"/>
                <w:szCs w:val="24"/>
              </w:rPr>
            </w:pPr>
            <w:r>
              <w:rPr>
                <w:rFonts w:hint="eastAsia" w:ascii="宋体" w:hAnsi="宋体"/>
                <w:sz w:val="24"/>
                <w:szCs w:val="24"/>
              </w:rPr>
              <w:t>电脑、投影仪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ascii="宋体" w:hAnsi="宋体"/>
                <w:sz w:val="24"/>
                <w:szCs w:val="24"/>
              </w:rPr>
              <w:t>6</w:t>
            </w:r>
          </w:p>
        </w:tc>
        <w:tc>
          <w:tcPr>
            <w:tcW w:w="3455" w:type="dxa"/>
            <w:gridSpan w:val="2"/>
          </w:tcPr>
          <w:p>
            <w:pPr>
              <w:spacing w:line="240" w:lineRule="auto"/>
              <w:jc w:val="center"/>
              <w:rPr>
                <w:rFonts w:ascii="宋体"/>
                <w:sz w:val="24"/>
                <w:szCs w:val="24"/>
              </w:rPr>
            </w:pPr>
            <w:r>
              <w:rPr>
                <w:rFonts w:hint="eastAsia" w:ascii="宋体" w:hAnsi="宋体"/>
                <w:sz w:val="24"/>
                <w:szCs w:val="24"/>
              </w:rPr>
              <w:t>设计与制作材料</w:t>
            </w:r>
          </w:p>
        </w:tc>
        <w:tc>
          <w:tcPr>
            <w:tcW w:w="2130" w:type="dxa"/>
          </w:tcPr>
          <w:p>
            <w:pPr>
              <w:spacing w:line="240" w:lineRule="auto"/>
              <w:jc w:val="center"/>
              <w:rPr>
                <w:rFonts w:ascii="宋体"/>
                <w:sz w:val="24"/>
                <w:szCs w:val="24"/>
              </w:rPr>
            </w:pPr>
            <w:r>
              <w:rPr>
                <w:rFonts w:ascii="宋体" w:hAnsi="宋体"/>
                <w:sz w:val="24"/>
                <w:szCs w:val="24"/>
              </w:rPr>
              <w:t>1</w:t>
            </w:r>
          </w:p>
        </w:tc>
        <w:tc>
          <w:tcPr>
            <w:tcW w:w="2130" w:type="dxa"/>
          </w:tcPr>
          <w:p>
            <w:pPr>
              <w:spacing w:line="240" w:lineRule="auto"/>
              <w:jc w:val="center"/>
              <w:rPr>
                <w:rFonts w:ascii="宋体"/>
                <w:sz w:val="24"/>
                <w:szCs w:val="24"/>
              </w:rPr>
            </w:pPr>
            <w:r>
              <w:rPr>
                <w:rFonts w:hint="eastAsia" w:ascii="宋体" w:hAnsi="宋体"/>
                <w:sz w:val="24"/>
                <w:szCs w:val="24"/>
              </w:rPr>
              <w:t>颜料、纸张、工具等</w:t>
            </w:r>
          </w:p>
        </w:tc>
      </w:tr>
    </w:tbl>
    <w:p>
      <w:pPr>
        <w:adjustRightInd w:val="0"/>
        <w:snapToGrid w:val="0"/>
        <w:spacing w:line="240" w:lineRule="auto"/>
        <w:rPr>
          <w:rFonts w:ascii="Cambria Math" w:eastAsia="Times New Roman"/>
          <w:sz w:val="24"/>
          <w:szCs w:val="24"/>
        </w:rPr>
      </w:pPr>
    </w:p>
    <w:p>
      <w:pPr>
        <w:adjustRightInd w:val="0"/>
        <w:snapToGrid w:val="0"/>
        <w:spacing w:line="240" w:lineRule="auto"/>
        <w:ind w:firstLine="240" w:firstLineChars="100"/>
        <w:rPr>
          <w:rFonts w:ascii="Cambria Math" w:eastAsia="Times New Roman"/>
          <w:sz w:val="24"/>
          <w:szCs w:val="24"/>
        </w:rPr>
      </w:pPr>
      <w:r>
        <w:rPr>
          <w:rFonts w:ascii="Cambria Math" w:hAnsi="Cambria Math"/>
          <w:sz w:val="24"/>
          <w:szCs w:val="24"/>
        </w:rPr>
        <w:t>2</w:t>
      </w:r>
      <w:r>
        <w:rPr>
          <w:rFonts w:hint="eastAsia" w:ascii="Cambria Math" w:hAnsi="Cambria Math"/>
          <w:sz w:val="24"/>
          <w:szCs w:val="24"/>
        </w:rPr>
        <w:t>．校外实习实训基地</w:t>
      </w:r>
    </w:p>
    <w:p>
      <w:pPr>
        <w:adjustRightInd w:val="0"/>
        <w:snapToGrid w:val="0"/>
        <w:spacing w:line="240" w:lineRule="auto"/>
        <w:ind w:firstLine="480"/>
        <w:jc w:val="center"/>
        <w:rPr>
          <w:rFonts w:ascii="Cambria Math" w:eastAsia="Times New Roman"/>
          <w:b/>
          <w:sz w:val="24"/>
          <w:szCs w:val="24"/>
        </w:rPr>
      </w:pPr>
      <w:r>
        <w:rPr>
          <w:rFonts w:hint="eastAsia" w:ascii="Cambria Math" w:hAnsi="Cambria Math"/>
          <w:b/>
          <w:sz w:val="24"/>
          <w:szCs w:val="24"/>
          <w:lang w:eastAsia="zh-CN"/>
        </w:rPr>
        <w:t>艺术设计</w:t>
      </w:r>
      <w:r>
        <w:rPr>
          <w:rFonts w:hint="eastAsia" w:ascii="Cambria Math" w:hAnsi="Cambria Math"/>
          <w:b/>
          <w:sz w:val="24"/>
          <w:szCs w:val="24"/>
        </w:rPr>
        <w:t>专业校外实习基地</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960"/>
        <w:gridCol w:w="230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22" w:type="dxa"/>
            <w:vAlign w:val="center"/>
          </w:tcPr>
          <w:p>
            <w:pPr>
              <w:spacing w:line="240" w:lineRule="auto"/>
              <w:jc w:val="center"/>
              <w:rPr>
                <w:rFonts w:ascii="宋体"/>
                <w:sz w:val="24"/>
                <w:szCs w:val="24"/>
              </w:rPr>
            </w:pPr>
            <w:r>
              <w:rPr>
                <w:rFonts w:hint="eastAsia" w:ascii="宋体" w:hAnsi="宋体"/>
                <w:sz w:val="24"/>
                <w:szCs w:val="24"/>
              </w:rPr>
              <w:t>序号</w:t>
            </w:r>
          </w:p>
        </w:tc>
        <w:tc>
          <w:tcPr>
            <w:tcW w:w="3960" w:type="dxa"/>
            <w:vAlign w:val="center"/>
          </w:tcPr>
          <w:p>
            <w:pPr>
              <w:spacing w:line="240" w:lineRule="auto"/>
              <w:jc w:val="center"/>
              <w:rPr>
                <w:rFonts w:ascii="宋体"/>
                <w:sz w:val="24"/>
                <w:szCs w:val="24"/>
              </w:rPr>
            </w:pPr>
            <w:r>
              <w:rPr>
                <w:rFonts w:hint="eastAsia" w:ascii="宋体" w:hAnsi="宋体"/>
                <w:sz w:val="24"/>
                <w:szCs w:val="24"/>
              </w:rPr>
              <w:t>校外实训基地名称</w:t>
            </w:r>
          </w:p>
        </w:tc>
        <w:tc>
          <w:tcPr>
            <w:tcW w:w="2301" w:type="dxa"/>
            <w:vAlign w:val="center"/>
          </w:tcPr>
          <w:p>
            <w:pPr>
              <w:spacing w:line="240" w:lineRule="auto"/>
              <w:jc w:val="center"/>
              <w:rPr>
                <w:rFonts w:ascii="宋体"/>
                <w:sz w:val="24"/>
                <w:szCs w:val="24"/>
              </w:rPr>
            </w:pPr>
            <w:r>
              <w:rPr>
                <w:rFonts w:hint="eastAsia" w:ascii="宋体" w:hAnsi="宋体"/>
                <w:sz w:val="24"/>
                <w:szCs w:val="24"/>
              </w:rPr>
              <w:t>主要实习实训项目</w:t>
            </w:r>
          </w:p>
        </w:tc>
        <w:tc>
          <w:tcPr>
            <w:tcW w:w="1213" w:type="dxa"/>
            <w:vAlign w:val="center"/>
          </w:tcPr>
          <w:p>
            <w:pPr>
              <w:spacing w:line="240" w:lineRule="auto"/>
              <w:contextualSpacing/>
              <w:jc w:val="center"/>
              <w:rPr>
                <w:rFonts w:ascii="宋体"/>
                <w:sz w:val="24"/>
                <w:szCs w:val="24"/>
              </w:rPr>
            </w:pPr>
            <w:r>
              <w:rPr>
                <w:rFonts w:hint="eastAsia" w:ascii="宋体" w:hAnsi="宋体"/>
                <w:sz w:val="24"/>
                <w:szCs w:val="24"/>
              </w:rPr>
              <w:t>接纳实习生容量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822" w:type="dxa"/>
            <w:vAlign w:val="center"/>
          </w:tcPr>
          <w:p>
            <w:pPr>
              <w:pStyle w:val="35"/>
              <w:spacing w:line="240" w:lineRule="auto"/>
              <w:jc w:val="center"/>
              <w:rPr>
                <w:rFonts w:ascii="宋体"/>
                <w:sz w:val="24"/>
                <w:szCs w:val="24"/>
              </w:rPr>
            </w:pPr>
            <w:r>
              <w:rPr>
                <w:rFonts w:ascii="宋体" w:hAnsi="宋体"/>
                <w:sz w:val="24"/>
                <w:szCs w:val="24"/>
              </w:rPr>
              <w:t>1</w:t>
            </w:r>
          </w:p>
        </w:tc>
        <w:tc>
          <w:tcPr>
            <w:tcW w:w="3960" w:type="dxa"/>
            <w:vAlign w:val="center"/>
          </w:tcPr>
          <w:p>
            <w:pPr>
              <w:pStyle w:val="35"/>
              <w:spacing w:line="240" w:lineRule="auto"/>
              <w:jc w:val="center"/>
              <w:rPr>
                <w:rFonts w:ascii="宋体"/>
                <w:sz w:val="24"/>
                <w:szCs w:val="24"/>
              </w:rPr>
            </w:pPr>
            <w:r>
              <w:rPr>
                <w:rFonts w:hint="eastAsia" w:ascii="宋体" w:hAnsi="宋体"/>
                <w:sz w:val="24"/>
                <w:szCs w:val="24"/>
              </w:rPr>
              <w:t>合肥大兴广告装饰有限公司</w:t>
            </w:r>
          </w:p>
        </w:tc>
        <w:tc>
          <w:tcPr>
            <w:tcW w:w="2301" w:type="dxa"/>
            <w:vAlign w:val="center"/>
          </w:tcPr>
          <w:p>
            <w:pPr>
              <w:pStyle w:val="35"/>
              <w:spacing w:line="240" w:lineRule="auto"/>
              <w:jc w:val="center"/>
              <w:rPr>
                <w:rFonts w:ascii="宋体"/>
                <w:sz w:val="24"/>
                <w:szCs w:val="24"/>
              </w:rPr>
            </w:pPr>
            <w:r>
              <w:rPr>
                <w:rFonts w:hint="eastAsia" w:ascii="宋体" w:hAnsi="宋体"/>
                <w:sz w:val="24"/>
                <w:szCs w:val="24"/>
              </w:rPr>
              <w:t>室内设计、装饰设计</w:t>
            </w:r>
          </w:p>
        </w:tc>
        <w:tc>
          <w:tcPr>
            <w:tcW w:w="1213" w:type="dxa"/>
            <w:vAlign w:val="center"/>
          </w:tcPr>
          <w:p>
            <w:pPr>
              <w:pStyle w:val="33"/>
              <w:spacing w:line="240" w:lineRule="auto"/>
              <w:rPr>
                <w:rFonts w:ascii="宋体"/>
                <w:sz w:val="24"/>
                <w:szCs w:val="24"/>
              </w:rPr>
            </w:pPr>
            <w:r>
              <w:rPr>
                <w:rFonts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822" w:type="dxa"/>
            <w:vAlign w:val="center"/>
          </w:tcPr>
          <w:p>
            <w:pPr>
              <w:pStyle w:val="35"/>
              <w:spacing w:line="240" w:lineRule="auto"/>
              <w:jc w:val="center"/>
              <w:rPr>
                <w:rFonts w:ascii="宋体"/>
                <w:sz w:val="24"/>
                <w:szCs w:val="24"/>
              </w:rPr>
            </w:pPr>
            <w:r>
              <w:rPr>
                <w:rFonts w:ascii="宋体" w:hAnsi="宋体"/>
                <w:sz w:val="24"/>
                <w:szCs w:val="24"/>
              </w:rPr>
              <w:t>2</w:t>
            </w:r>
          </w:p>
        </w:tc>
        <w:tc>
          <w:tcPr>
            <w:tcW w:w="3960" w:type="dxa"/>
            <w:vAlign w:val="center"/>
          </w:tcPr>
          <w:p>
            <w:pPr>
              <w:pStyle w:val="35"/>
              <w:spacing w:line="240" w:lineRule="auto"/>
              <w:jc w:val="center"/>
              <w:rPr>
                <w:rFonts w:ascii="宋体"/>
                <w:sz w:val="24"/>
                <w:szCs w:val="24"/>
              </w:rPr>
            </w:pPr>
            <w:r>
              <w:rPr>
                <w:rFonts w:hint="eastAsia" w:ascii="宋体" w:hAnsi="宋体"/>
                <w:sz w:val="24"/>
                <w:szCs w:val="24"/>
              </w:rPr>
              <w:t>合肥名风装饰有限公司</w:t>
            </w:r>
          </w:p>
        </w:tc>
        <w:tc>
          <w:tcPr>
            <w:tcW w:w="2301" w:type="dxa"/>
            <w:vAlign w:val="center"/>
          </w:tcPr>
          <w:p>
            <w:pPr>
              <w:pStyle w:val="35"/>
              <w:spacing w:line="240" w:lineRule="auto"/>
              <w:jc w:val="center"/>
              <w:rPr>
                <w:rFonts w:ascii="宋体"/>
                <w:sz w:val="24"/>
                <w:szCs w:val="24"/>
              </w:rPr>
            </w:pPr>
            <w:r>
              <w:rPr>
                <w:rFonts w:hint="eastAsia" w:ascii="宋体" w:hAnsi="宋体"/>
                <w:sz w:val="24"/>
                <w:szCs w:val="24"/>
              </w:rPr>
              <w:t>室内设计、装饰设计</w:t>
            </w:r>
          </w:p>
        </w:tc>
        <w:tc>
          <w:tcPr>
            <w:tcW w:w="1213" w:type="dxa"/>
            <w:vAlign w:val="center"/>
          </w:tcPr>
          <w:p>
            <w:pPr>
              <w:pStyle w:val="33"/>
              <w:spacing w:line="240" w:lineRule="auto"/>
              <w:rPr>
                <w:rFonts w:ascii="宋体"/>
                <w:sz w:val="24"/>
                <w:szCs w:val="24"/>
              </w:rPr>
            </w:pPr>
            <w:r>
              <w:rPr>
                <w:rFonts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822" w:type="dxa"/>
            <w:vAlign w:val="center"/>
          </w:tcPr>
          <w:p>
            <w:pPr>
              <w:pStyle w:val="35"/>
              <w:spacing w:line="240" w:lineRule="auto"/>
              <w:jc w:val="center"/>
              <w:rPr>
                <w:rFonts w:ascii="宋体"/>
                <w:sz w:val="24"/>
                <w:szCs w:val="24"/>
              </w:rPr>
            </w:pPr>
            <w:r>
              <w:rPr>
                <w:rFonts w:ascii="宋体" w:hAnsi="宋体"/>
                <w:sz w:val="24"/>
                <w:szCs w:val="24"/>
              </w:rPr>
              <w:t>3</w:t>
            </w:r>
          </w:p>
        </w:tc>
        <w:tc>
          <w:tcPr>
            <w:tcW w:w="3960" w:type="dxa"/>
            <w:vAlign w:val="center"/>
          </w:tcPr>
          <w:p>
            <w:pPr>
              <w:pStyle w:val="35"/>
              <w:spacing w:line="240" w:lineRule="auto"/>
              <w:jc w:val="center"/>
              <w:rPr>
                <w:rFonts w:ascii="宋体"/>
                <w:sz w:val="24"/>
                <w:szCs w:val="24"/>
              </w:rPr>
            </w:pPr>
            <w:r>
              <w:rPr>
                <w:rFonts w:hint="eastAsia" w:ascii="宋体" w:hAnsi="宋体"/>
                <w:sz w:val="24"/>
                <w:szCs w:val="24"/>
              </w:rPr>
              <w:t>合肥星光装饰有限公司</w:t>
            </w:r>
          </w:p>
        </w:tc>
        <w:tc>
          <w:tcPr>
            <w:tcW w:w="2301" w:type="dxa"/>
            <w:vAlign w:val="center"/>
          </w:tcPr>
          <w:p>
            <w:pPr>
              <w:pStyle w:val="35"/>
              <w:spacing w:line="240" w:lineRule="auto"/>
              <w:jc w:val="center"/>
              <w:rPr>
                <w:rFonts w:ascii="宋体"/>
                <w:sz w:val="24"/>
                <w:szCs w:val="24"/>
              </w:rPr>
            </w:pPr>
            <w:r>
              <w:rPr>
                <w:rFonts w:hint="eastAsia" w:ascii="宋体" w:hAnsi="宋体"/>
                <w:sz w:val="24"/>
                <w:szCs w:val="24"/>
              </w:rPr>
              <w:t>室内设计、装饰设计</w:t>
            </w:r>
          </w:p>
        </w:tc>
        <w:tc>
          <w:tcPr>
            <w:tcW w:w="1213" w:type="dxa"/>
            <w:vAlign w:val="center"/>
          </w:tcPr>
          <w:p>
            <w:pPr>
              <w:pStyle w:val="33"/>
              <w:spacing w:line="240" w:lineRule="auto"/>
              <w:rPr>
                <w:rFonts w:ascii="宋体"/>
                <w:sz w:val="24"/>
                <w:szCs w:val="24"/>
              </w:rPr>
            </w:pPr>
            <w:r>
              <w:rPr>
                <w:rFonts w:ascii="宋体" w:hAnsi="宋体"/>
                <w:sz w:val="24"/>
                <w:szCs w:val="24"/>
              </w:rPr>
              <w:t>20</w:t>
            </w:r>
          </w:p>
        </w:tc>
      </w:tr>
    </w:tbl>
    <w:p>
      <w:pPr>
        <w:adjustRightInd w:val="0"/>
        <w:snapToGrid w:val="0"/>
        <w:spacing w:line="240" w:lineRule="auto"/>
        <w:ind w:firstLine="480"/>
        <w:rPr>
          <w:rFonts w:ascii="Cambria Math" w:eastAsia="Times New Roman"/>
          <w:sz w:val="24"/>
          <w:szCs w:val="24"/>
        </w:rPr>
      </w:pPr>
      <w:r>
        <w:rPr>
          <w:rFonts w:ascii="Cambria Math" w:hAnsi="Cambria Math"/>
          <w:sz w:val="24"/>
          <w:szCs w:val="24"/>
        </w:rPr>
        <w:t>3</w:t>
      </w:r>
      <w:r>
        <w:rPr>
          <w:rFonts w:hint="eastAsia" w:ascii="Cambria Math" w:hAnsi="Cambria Math"/>
          <w:sz w:val="24"/>
          <w:szCs w:val="24"/>
        </w:rPr>
        <w:t>．信息化教学要求</w:t>
      </w:r>
    </w:p>
    <w:p>
      <w:pPr>
        <w:spacing w:line="240" w:lineRule="auto"/>
        <w:ind w:firstLine="480" w:firstLineChars="200"/>
        <w:rPr>
          <w:rFonts w:ascii="Cambria Math" w:eastAsia="Times New Roman"/>
          <w:sz w:val="24"/>
          <w:szCs w:val="24"/>
        </w:rPr>
      </w:pPr>
      <w:r>
        <w:rPr>
          <w:rFonts w:hint="eastAsia" w:ascii="Cambria Math" w:hAnsi="Cambria Math"/>
          <w:sz w:val="24"/>
          <w:szCs w:val="24"/>
        </w:rPr>
        <w:t>（</w:t>
      </w:r>
      <w:r>
        <w:rPr>
          <w:rFonts w:ascii="Cambria Math" w:hAnsi="Cambria Math"/>
          <w:sz w:val="24"/>
          <w:szCs w:val="24"/>
        </w:rPr>
        <w:t>1</w:t>
      </w:r>
      <w:r>
        <w:rPr>
          <w:rFonts w:hint="eastAsia" w:ascii="Cambria Math" w:hAnsi="Cambria Math"/>
          <w:sz w:val="24"/>
          <w:szCs w:val="24"/>
        </w:rPr>
        <w:t>）具有足够数量的多媒体教室及机房。</w:t>
      </w:r>
    </w:p>
    <w:p>
      <w:pPr>
        <w:spacing w:line="240" w:lineRule="auto"/>
        <w:ind w:firstLine="480" w:firstLineChars="200"/>
        <w:rPr>
          <w:rFonts w:ascii="Cambria Math" w:eastAsia="Times New Roman"/>
          <w:sz w:val="24"/>
          <w:szCs w:val="24"/>
        </w:rPr>
      </w:pPr>
      <w:r>
        <w:rPr>
          <w:rFonts w:hint="eastAsia" w:ascii="Cambria Math" w:hAnsi="Cambria Math"/>
          <w:sz w:val="24"/>
          <w:szCs w:val="24"/>
        </w:rPr>
        <w:t>（</w:t>
      </w:r>
      <w:r>
        <w:rPr>
          <w:rFonts w:ascii="Cambria Math" w:hAnsi="Cambria Math"/>
          <w:sz w:val="24"/>
          <w:szCs w:val="24"/>
        </w:rPr>
        <w:t>2</w:t>
      </w:r>
      <w:r>
        <w:rPr>
          <w:rFonts w:hint="eastAsia" w:ascii="Cambria Math" w:hAnsi="Cambria Math"/>
          <w:sz w:val="24"/>
          <w:szCs w:val="24"/>
        </w:rPr>
        <w:t>）配备齐全的艺术设计教学模拟软件。</w:t>
      </w:r>
    </w:p>
    <w:p>
      <w:pPr>
        <w:spacing w:line="240" w:lineRule="auto"/>
        <w:ind w:firstLine="482" w:firstLineChars="200"/>
        <w:jc w:val="center"/>
        <w:rPr>
          <w:rFonts w:ascii="宋体"/>
          <w:b/>
          <w:sz w:val="24"/>
          <w:szCs w:val="24"/>
        </w:rPr>
      </w:pPr>
      <w:r>
        <w:rPr>
          <w:rFonts w:hint="eastAsia" w:ascii="宋体" w:hAnsi="宋体"/>
          <w:b/>
          <w:sz w:val="24"/>
          <w:szCs w:val="24"/>
          <w:lang w:eastAsia="zh-CN"/>
        </w:rPr>
        <w:t>艺术设计</w:t>
      </w:r>
      <w:r>
        <w:rPr>
          <w:rFonts w:hint="eastAsia" w:ascii="宋体" w:hAnsi="宋体"/>
          <w:b/>
          <w:sz w:val="24"/>
          <w:szCs w:val="24"/>
        </w:rPr>
        <w:t>专业的信息化教学资源</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455"/>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hint="eastAsia" w:ascii="宋体" w:hAnsi="宋体"/>
                <w:sz w:val="24"/>
                <w:szCs w:val="24"/>
              </w:rPr>
              <w:t>序号</w:t>
            </w:r>
          </w:p>
        </w:tc>
        <w:tc>
          <w:tcPr>
            <w:tcW w:w="3455" w:type="dxa"/>
          </w:tcPr>
          <w:p>
            <w:pPr>
              <w:spacing w:line="240" w:lineRule="auto"/>
              <w:jc w:val="center"/>
              <w:rPr>
                <w:rFonts w:ascii="宋体"/>
                <w:sz w:val="24"/>
                <w:szCs w:val="24"/>
              </w:rPr>
            </w:pPr>
            <w:r>
              <w:rPr>
                <w:rFonts w:hint="eastAsia" w:ascii="Cambria Math" w:hAnsi="Cambria Math"/>
                <w:sz w:val="24"/>
                <w:szCs w:val="24"/>
              </w:rPr>
              <w:t>教学模拟软件</w:t>
            </w:r>
          </w:p>
        </w:tc>
        <w:tc>
          <w:tcPr>
            <w:tcW w:w="2130" w:type="dxa"/>
          </w:tcPr>
          <w:p>
            <w:pPr>
              <w:spacing w:line="240" w:lineRule="auto"/>
              <w:jc w:val="center"/>
              <w:rPr>
                <w:rFonts w:ascii="宋体"/>
                <w:sz w:val="24"/>
                <w:szCs w:val="24"/>
              </w:rPr>
            </w:pPr>
            <w:r>
              <w:rPr>
                <w:rFonts w:hint="eastAsia" w:ascii="宋体" w:hAnsi="宋体"/>
                <w:sz w:val="24"/>
                <w:szCs w:val="24"/>
              </w:rPr>
              <w:t>数量要求</w:t>
            </w:r>
          </w:p>
        </w:tc>
        <w:tc>
          <w:tcPr>
            <w:tcW w:w="2130" w:type="dxa"/>
          </w:tcPr>
          <w:p>
            <w:pPr>
              <w:spacing w:line="240" w:lineRule="auto"/>
              <w:jc w:val="center"/>
              <w:rPr>
                <w:rFonts w:asci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240" w:lineRule="auto"/>
              <w:jc w:val="center"/>
              <w:rPr>
                <w:rFonts w:ascii="宋体"/>
                <w:sz w:val="24"/>
                <w:szCs w:val="24"/>
              </w:rPr>
            </w:pPr>
            <w:r>
              <w:rPr>
                <w:rFonts w:ascii="宋体" w:hAnsi="宋体"/>
                <w:sz w:val="24"/>
                <w:szCs w:val="24"/>
              </w:rPr>
              <w:t>1</w:t>
            </w:r>
          </w:p>
        </w:tc>
        <w:tc>
          <w:tcPr>
            <w:tcW w:w="3455" w:type="dxa"/>
          </w:tcPr>
          <w:p>
            <w:pPr>
              <w:spacing w:line="240" w:lineRule="auto"/>
              <w:jc w:val="center"/>
              <w:rPr>
                <w:rFonts w:ascii="Cambria Math" w:eastAsia="Times New Roman"/>
                <w:sz w:val="24"/>
                <w:szCs w:val="24"/>
              </w:rPr>
            </w:pPr>
            <w:r>
              <w:rPr>
                <w:rFonts w:ascii="宋体" w:hAnsi="宋体"/>
                <w:sz w:val="24"/>
                <w:szCs w:val="24"/>
              </w:rPr>
              <w:t>Auto CAD</w:t>
            </w:r>
          </w:p>
        </w:tc>
        <w:tc>
          <w:tcPr>
            <w:tcW w:w="2130" w:type="dxa"/>
          </w:tcPr>
          <w:p>
            <w:pPr>
              <w:spacing w:line="240" w:lineRule="auto"/>
              <w:jc w:val="center"/>
              <w:rPr>
                <w:rFonts w:ascii="宋体"/>
                <w:sz w:val="24"/>
                <w:szCs w:val="24"/>
              </w:rPr>
            </w:pPr>
            <w:r>
              <w:rPr>
                <w:rFonts w:ascii="宋体" w:hAnsi="宋体"/>
                <w:sz w:val="24"/>
                <w:szCs w:val="24"/>
              </w:rPr>
              <w:t>1</w:t>
            </w:r>
          </w:p>
        </w:tc>
        <w:tc>
          <w:tcPr>
            <w:tcW w:w="2130" w:type="dxa"/>
          </w:tcPr>
          <w:p>
            <w:pPr>
              <w:spacing w:line="24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ascii="宋体" w:hAnsi="宋体"/>
                <w:sz w:val="24"/>
                <w:szCs w:val="24"/>
              </w:rPr>
              <w:t>2</w:t>
            </w:r>
          </w:p>
        </w:tc>
        <w:tc>
          <w:tcPr>
            <w:tcW w:w="3455" w:type="dxa"/>
          </w:tcPr>
          <w:p>
            <w:pPr>
              <w:spacing w:line="240" w:lineRule="auto"/>
              <w:jc w:val="center"/>
              <w:rPr>
                <w:rFonts w:ascii="宋体"/>
                <w:sz w:val="24"/>
                <w:szCs w:val="24"/>
              </w:rPr>
            </w:pPr>
            <w:r>
              <w:rPr>
                <w:rFonts w:ascii="宋体" w:hAnsi="宋体"/>
                <w:sz w:val="24"/>
                <w:szCs w:val="24"/>
              </w:rPr>
              <w:t>3ds MAX</w:t>
            </w:r>
          </w:p>
        </w:tc>
        <w:tc>
          <w:tcPr>
            <w:tcW w:w="2130" w:type="dxa"/>
          </w:tcPr>
          <w:p>
            <w:pPr>
              <w:spacing w:line="240" w:lineRule="auto"/>
              <w:jc w:val="center"/>
              <w:rPr>
                <w:sz w:val="24"/>
                <w:szCs w:val="24"/>
              </w:rPr>
            </w:pPr>
            <w:r>
              <w:rPr>
                <w:rFonts w:ascii="宋体" w:hAnsi="宋体"/>
                <w:sz w:val="24"/>
                <w:szCs w:val="24"/>
              </w:rPr>
              <w:t>1</w:t>
            </w:r>
          </w:p>
        </w:tc>
        <w:tc>
          <w:tcPr>
            <w:tcW w:w="2130" w:type="dxa"/>
          </w:tcPr>
          <w:p>
            <w:pPr>
              <w:spacing w:line="240" w:lineRule="auto"/>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p>
        </w:tc>
        <w:tc>
          <w:tcPr>
            <w:tcW w:w="3455" w:type="dxa"/>
          </w:tcPr>
          <w:p>
            <w:pPr>
              <w:spacing w:line="240" w:lineRule="auto"/>
              <w:jc w:val="center"/>
              <w:rPr>
                <w:rFonts w:ascii="宋体"/>
                <w:sz w:val="24"/>
                <w:szCs w:val="24"/>
              </w:rPr>
            </w:pPr>
            <w:r>
              <w:rPr>
                <w:rFonts w:ascii="宋体" w:hAnsi="宋体"/>
                <w:sz w:val="24"/>
                <w:szCs w:val="24"/>
              </w:rPr>
              <w:t>Photoshop</w:t>
            </w:r>
          </w:p>
        </w:tc>
        <w:tc>
          <w:tcPr>
            <w:tcW w:w="2130" w:type="dxa"/>
          </w:tcPr>
          <w:p>
            <w:pPr>
              <w:spacing w:line="240" w:lineRule="auto"/>
              <w:jc w:val="center"/>
              <w:rPr>
                <w:sz w:val="24"/>
                <w:szCs w:val="24"/>
              </w:rPr>
            </w:pPr>
            <w:r>
              <w:rPr>
                <w:rFonts w:ascii="宋体" w:hAnsi="宋体"/>
                <w:sz w:val="24"/>
                <w:szCs w:val="24"/>
              </w:rPr>
              <w:t>1</w:t>
            </w:r>
          </w:p>
        </w:tc>
        <w:tc>
          <w:tcPr>
            <w:tcW w:w="2130" w:type="dxa"/>
          </w:tcPr>
          <w:p>
            <w:pPr>
              <w:spacing w:line="240" w:lineRule="auto"/>
              <w:jc w:val="center"/>
              <w:rPr>
                <w:rFonts w:ascii="宋体"/>
                <w:sz w:val="24"/>
                <w:szCs w:val="24"/>
              </w:rPr>
            </w:pPr>
          </w:p>
        </w:tc>
      </w:tr>
    </w:tbl>
    <w:p>
      <w:pPr>
        <w:spacing w:line="240" w:lineRule="auto"/>
        <w:ind w:firstLine="480" w:firstLineChars="200"/>
        <w:rPr>
          <w:rFonts w:ascii="Cambria Math" w:eastAsia="Times New Roman"/>
          <w:sz w:val="24"/>
          <w:szCs w:val="24"/>
        </w:rPr>
      </w:pPr>
    </w:p>
    <w:p>
      <w:pPr>
        <w:spacing w:line="240" w:lineRule="auto"/>
        <w:ind w:firstLine="480" w:firstLineChars="200"/>
        <w:rPr>
          <w:rFonts w:ascii="Cambria Math" w:eastAsia="Times New Roman"/>
          <w:sz w:val="24"/>
          <w:szCs w:val="24"/>
        </w:rPr>
      </w:pPr>
      <w:r>
        <w:rPr>
          <w:rFonts w:hint="eastAsia" w:ascii="Cambria Math" w:hAnsi="Cambria Math"/>
          <w:sz w:val="24"/>
          <w:szCs w:val="24"/>
        </w:rPr>
        <w:t>（</w:t>
      </w:r>
      <w:r>
        <w:rPr>
          <w:rFonts w:ascii="Cambria Math" w:hAnsi="Cambria Math"/>
          <w:sz w:val="24"/>
          <w:szCs w:val="24"/>
        </w:rPr>
        <w:t>3</w:t>
      </w:r>
      <w:r>
        <w:rPr>
          <w:rFonts w:hint="eastAsia" w:ascii="Cambria Math" w:hAnsi="Cambria Math"/>
          <w:sz w:val="24"/>
          <w:szCs w:val="24"/>
        </w:rPr>
        <w:t>）建设一批优秀的课程教学资源。</w:t>
      </w:r>
    </w:p>
    <w:p>
      <w:pPr>
        <w:spacing w:line="240" w:lineRule="auto"/>
        <w:ind w:firstLine="482" w:firstLineChars="200"/>
        <w:jc w:val="center"/>
        <w:rPr>
          <w:rFonts w:ascii="宋体"/>
          <w:b/>
          <w:sz w:val="24"/>
          <w:szCs w:val="24"/>
        </w:rPr>
      </w:pPr>
      <w:r>
        <w:rPr>
          <w:rFonts w:hint="eastAsia" w:ascii="宋体" w:hAnsi="宋体"/>
          <w:b/>
          <w:sz w:val="24"/>
          <w:szCs w:val="24"/>
          <w:lang w:eastAsia="zh-CN"/>
        </w:rPr>
        <w:t>艺术设计</w:t>
      </w:r>
      <w:r>
        <w:rPr>
          <w:rFonts w:hint="eastAsia" w:ascii="宋体" w:hAnsi="宋体"/>
          <w:b/>
          <w:sz w:val="24"/>
          <w:szCs w:val="24"/>
        </w:rPr>
        <w:t>专业的课程资源</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455"/>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hint="eastAsia" w:ascii="宋体" w:hAnsi="宋体"/>
                <w:sz w:val="24"/>
                <w:szCs w:val="24"/>
              </w:rPr>
              <w:t>序号</w:t>
            </w:r>
          </w:p>
        </w:tc>
        <w:tc>
          <w:tcPr>
            <w:tcW w:w="3455" w:type="dxa"/>
          </w:tcPr>
          <w:p>
            <w:pPr>
              <w:spacing w:line="240" w:lineRule="auto"/>
              <w:jc w:val="center"/>
              <w:rPr>
                <w:rFonts w:ascii="宋体"/>
                <w:sz w:val="24"/>
                <w:szCs w:val="24"/>
              </w:rPr>
            </w:pPr>
            <w:r>
              <w:rPr>
                <w:rFonts w:hint="eastAsia" w:ascii="宋体" w:hAnsi="宋体"/>
                <w:sz w:val="24"/>
                <w:szCs w:val="24"/>
              </w:rPr>
              <w:t>课程资源</w:t>
            </w:r>
          </w:p>
        </w:tc>
        <w:tc>
          <w:tcPr>
            <w:tcW w:w="2130" w:type="dxa"/>
          </w:tcPr>
          <w:p>
            <w:pPr>
              <w:spacing w:line="240" w:lineRule="auto"/>
              <w:jc w:val="center"/>
              <w:rPr>
                <w:rFonts w:ascii="宋体"/>
                <w:sz w:val="24"/>
                <w:szCs w:val="24"/>
              </w:rPr>
            </w:pPr>
            <w:r>
              <w:rPr>
                <w:rFonts w:hint="eastAsia" w:ascii="宋体" w:hAnsi="宋体"/>
                <w:sz w:val="24"/>
                <w:szCs w:val="24"/>
              </w:rPr>
              <w:t>数量要求</w:t>
            </w:r>
          </w:p>
        </w:tc>
        <w:tc>
          <w:tcPr>
            <w:tcW w:w="2130" w:type="dxa"/>
          </w:tcPr>
          <w:p>
            <w:pPr>
              <w:spacing w:line="240" w:lineRule="auto"/>
              <w:jc w:val="center"/>
              <w:rPr>
                <w:rFonts w:asci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240" w:lineRule="auto"/>
              <w:jc w:val="center"/>
              <w:rPr>
                <w:rFonts w:ascii="宋体"/>
                <w:sz w:val="24"/>
                <w:szCs w:val="24"/>
              </w:rPr>
            </w:pPr>
            <w:r>
              <w:rPr>
                <w:rFonts w:ascii="宋体" w:hAnsi="宋体"/>
                <w:sz w:val="24"/>
                <w:szCs w:val="24"/>
              </w:rPr>
              <w:t>1</w:t>
            </w:r>
          </w:p>
        </w:tc>
        <w:tc>
          <w:tcPr>
            <w:tcW w:w="3455" w:type="dxa"/>
          </w:tcPr>
          <w:p>
            <w:pPr>
              <w:spacing w:line="240" w:lineRule="auto"/>
              <w:jc w:val="center"/>
              <w:rPr>
                <w:rFonts w:ascii="宋体"/>
                <w:sz w:val="24"/>
                <w:szCs w:val="24"/>
              </w:rPr>
            </w:pPr>
            <w:r>
              <w:rPr>
                <w:rFonts w:ascii="宋体" w:hAnsi="宋体"/>
                <w:sz w:val="24"/>
                <w:szCs w:val="24"/>
              </w:rPr>
              <w:t>http://www.abbs.com.cn</w:t>
            </w:r>
          </w:p>
        </w:tc>
        <w:tc>
          <w:tcPr>
            <w:tcW w:w="2130" w:type="dxa"/>
          </w:tcPr>
          <w:p>
            <w:pPr>
              <w:spacing w:line="240" w:lineRule="auto"/>
              <w:jc w:val="center"/>
              <w:rPr>
                <w:rFonts w:ascii="宋体"/>
                <w:sz w:val="24"/>
                <w:szCs w:val="24"/>
              </w:rPr>
            </w:pPr>
            <w:r>
              <w:rPr>
                <w:rFonts w:ascii="宋体" w:hAnsi="宋体"/>
                <w:sz w:val="24"/>
                <w:szCs w:val="24"/>
              </w:rPr>
              <w:t>1</w:t>
            </w:r>
          </w:p>
        </w:tc>
        <w:tc>
          <w:tcPr>
            <w:tcW w:w="2130" w:type="dxa"/>
          </w:tcPr>
          <w:p>
            <w:pPr>
              <w:spacing w:line="240" w:lineRule="auto"/>
              <w:jc w:val="center"/>
              <w:rPr>
                <w:rFonts w:ascii="宋体"/>
                <w:sz w:val="24"/>
                <w:szCs w:val="24"/>
              </w:rPr>
            </w:pPr>
            <w:r>
              <w:rPr>
                <w:rFonts w:hint="eastAsia" w:ascii="宋体" w:hAnsi="宋体"/>
                <w:sz w:val="24"/>
                <w:szCs w:val="24"/>
              </w:rPr>
              <w:t>方案设计、施工工艺、效果图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240" w:lineRule="auto"/>
              <w:jc w:val="center"/>
              <w:rPr>
                <w:rFonts w:ascii="宋体"/>
                <w:sz w:val="24"/>
                <w:szCs w:val="24"/>
              </w:rPr>
            </w:pPr>
            <w:r>
              <w:rPr>
                <w:rFonts w:ascii="宋体" w:hAnsi="宋体"/>
                <w:sz w:val="24"/>
                <w:szCs w:val="24"/>
              </w:rPr>
              <w:t>2</w:t>
            </w:r>
          </w:p>
        </w:tc>
        <w:tc>
          <w:tcPr>
            <w:tcW w:w="3455" w:type="dxa"/>
          </w:tcPr>
          <w:p>
            <w:pPr>
              <w:spacing w:line="240" w:lineRule="auto"/>
              <w:jc w:val="center"/>
              <w:rPr>
                <w:rFonts w:ascii="宋体"/>
                <w:sz w:val="24"/>
                <w:szCs w:val="24"/>
              </w:rPr>
            </w:pPr>
          </w:p>
        </w:tc>
        <w:tc>
          <w:tcPr>
            <w:tcW w:w="2130" w:type="dxa"/>
          </w:tcPr>
          <w:p>
            <w:pPr>
              <w:spacing w:line="240" w:lineRule="auto"/>
              <w:jc w:val="center"/>
              <w:rPr>
                <w:rFonts w:ascii="宋体"/>
                <w:sz w:val="24"/>
                <w:szCs w:val="24"/>
              </w:rPr>
            </w:pPr>
          </w:p>
        </w:tc>
        <w:tc>
          <w:tcPr>
            <w:tcW w:w="2130" w:type="dxa"/>
          </w:tcPr>
          <w:p>
            <w:pPr>
              <w:spacing w:line="240" w:lineRule="auto"/>
              <w:jc w:val="center"/>
              <w:rPr>
                <w:rFonts w:ascii="宋体"/>
                <w:sz w:val="24"/>
                <w:szCs w:val="24"/>
              </w:rPr>
            </w:pPr>
          </w:p>
        </w:tc>
      </w:tr>
    </w:tbl>
    <w:p>
      <w:pPr>
        <w:spacing w:line="360" w:lineRule="auto"/>
        <w:ind w:firstLine="480" w:firstLineChars="200"/>
        <w:rPr>
          <w:rFonts w:ascii="Cambria Math" w:eastAsia="Times New Roman"/>
          <w:sz w:val="24"/>
          <w:szCs w:val="24"/>
        </w:rPr>
      </w:pP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4．其他</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（1）发挥好校内外实习实训基地在专业课程实践教学中的重要作用，不局限课程的授课地点，授课形式，善于创新，提升教学效果。</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（2）利用智慧课堂、MOOC等形式发挥学生自主学习能动性，培养学习能力。</w:t>
      </w: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（三）教学资源</w:t>
      </w: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1．依据学校“教材选用制度”，优先从国家和省两级规划教材目录中选用教材。鼓励与行业企业合作开发特色鲜明的专业课校本教材。</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2．利用学院图书馆馆藏资料、中国知网、万方数据、维普咨询等资源平台，不断丰富人文和专业书籍和期刊储藏量，建立电子阅览室，方便学生课余学习和资料查找。</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建设基于网络平台的数字化学习资源，具备在线学习、在线测评的功能，满足学生在校、在岗、在家学习的需要，核心课程、精品课程应建立课程网站，集成教案、课件、授课系统、图片与动画、题库、课外阅读、网上提问、网上答疑、网上论坛、知识扩展等数字资源，建立专业课程的资源库。</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（四）教学方法</w:t>
      </w:r>
    </w:p>
    <w:p>
      <w:pPr>
        <w:adjustRightInd w:val="0"/>
        <w:snapToGrid w:val="0"/>
        <w:spacing w:line="240" w:lineRule="auto"/>
        <w:ind w:firstLine="480"/>
        <w:rPr>
          <w:rFonts w:hint="eastAsia" w:ascii="宋体" w:hAnsi="宋体" w:eastAsia="宋体" w:cs="宋体"/>
          <w:sz w:val="24"/>
          <w:szCs w:val="24"/>
        </w:rPr>
      </w:pPr>
      <w:r>
        <w:rPr>
          <w:rFonts w:hint="eastAsia" w:ascii="宋体" w:hAnsi="宋体" w:eastAsia="宋体" w:cs="宋体"/>
          <w:sz w:val="24"/>
          <w:szCs w:val="24"/>
        </w:rPr>
        <w:t>艺术设计专业课程教学过程中需坚持学中做，做中学，教学做一体的原则，区分课程属性和性质，结合专业实训室、校内外实习实训基地、教学资源库、教学软件等教学资源，针对不同招生类别特点和课程特点，采用项目教学、案例教学、软件模拟、情境模拟、跟岗实习、智慧课堂等系列教学方法，创新教学活动形式，提升教学效果。</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（五）学习评价</w:t>
      </w:r>
    </w:p>
    <w:p>
      <w:pPr>
        <w:adjustRightInd w:val="0"/>
        <w:snapToGrid w:val="0"/>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1.学习领域课程评价。全面改革“期末一张卷”的传统考核方法，建立全程化考核评价体系，核心课程建立专业评价题库，课程成绩由平时成绩和期末考试成绩组成，原则上，必修课平时实训作业成绩占60%，期末考试实践作业成绩占40%；</w:t>
      </w:r>
      <w:r>
        <w:rPr>
          <w:rFonts w:hint="eastAsia" w:ascii="宋体" w:hAnsi="宋体" w:eastAsia="宋体" w:cs="宋体"/>
          <w:sz w:val="24"/>
          <w:szCs w:val="24"/>
        </w:rPr>
        <w:t>理论</w:t>
      </w:r>
      <w:r>
        <w:rPr>
          <w:rFonts w:hint="eastAsia" w:ascii="宋体" w:hAnsi="宋体" w:eastAsia="宋体" w:cs="宋体"/>
          <w:sz w:val="24"/>
          <w:szCs w:val="28"/>
        </w:rPr>
        <w:t>选修课平时成绩占50%，期末考试成绩占50%，</w:t>
      </w:r>
      <w:r>
        <w:rPr>
          <w:rFonts w:hint="eastAsia" w:ascii="宋体" w:hAnsi="宋体" w:eastAsia="宋体" w:cs="宋体"/>
          <w:sz w:val="24"/>
          <w:szCs w:val="24"/>
        </w:rPr>
        <w:t>实训</w:t>
      </w:r>
      <w:r>
        <w:rPr>
          <w:rFonts w:hint="eastAsia" w:ascii="宋体" w:hAnsi="宋体" w:eastAsia="宋体" w:cs="宋体"/>
          <w:sz w:val="24"/>
          <w:szCs w:val="28"/>
        </w:rPr>
        <w:t>选修课平时成绩占60%，期末考试成绩占40%；实训作业以实训项目操作考核为主，将过程考核与结果考核、个人考核与小组考核结合起来，不仅评定学生的个人实践操作能力，而且评定学生在实践活动中的协作能力和沟通能力。</w:t>
      </w:r>
    </w:p>
    <w:p>
      <w:pPr>
        <w:adjustRightInd w:val="0"/>
        <w:snapToGrid w:val="0"/>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8"/>
        </w:rPr>
        <w:t xml:space="preserve">2.顶岗实习评价。校外顶岗实习成绩由校内专业教师评价、校外兼职教师评价、实习单位鉴定三部分组成。校内专业指导教师应根据学生“顶岗实习任务书”，结合学生顶岗实习总结、阶段汇报，分期检查情况对学生顶岗实习情况进行评价。 </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（六）质量管理</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1.质量标准要求</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（1）教学准备环节。专业任课教师应根据课程标准提前做好2周的备课任务，备课中需要参考最新的专业辅导教材资料，注意知识的及时更新。</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2）课堂教学环节。专业任课教师在课堂教学过程中，要根据不同招生类别特点开展有效的教学活动形式，提高自身信息化教学能力，广泛使用MOOC、微课、精品视频课等课程教学资源，以学生为中心，充分发挥学生学习积极性，提高课堂教学效果。</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3）课后答疑及作业批改环节。专业任课教师课后需使用微信、QQ、云课堂等形式搭建有效的师生沟通交流平台，对学生的疑问进行及时有效的解答，同时，作业批改环节，积极鼓励教师利用教学软件进行作业布置及自动批改，提升作业批阅效率。</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（4）技能竞赛</w:t>
      </w:r>
    </w:p>
    <w:p>
      <w:pPr>
        <w:spacing w:line="240" w:lineRule="auto"/>
        <w:ind w:firstLine="480" w:firstLineChars="200"/>
        <w:rPr>
          <w:rFonts w:hint="eastAsia" w:ascii="宋体" w:hAnsi="宋体" w:eastAsia="宋体" w:cs="宋体"/>
          <w:sz w:val="24"/>
        </w:rPr>
      </w:pPr>
      <w:r>
        <w:rPr>
          <w:rFonts w:hint="eastAsia" w:ascii="宋体" w:hAnsi="宋体" w:eastAsia="宋体" w:cs="宋体"/>
          <w:sz w:val="24"/>
        </w:rPr>
        <w:t>为了加强应用型人才培养，自我诊断艺术设计专业人才培养质量，在校园营造一个比学习、比技能的氛围，提高学生的学习积极性。艺术设计专业学生在校期间至少参加一届院级以上的专业技能大赛，通过专业技能比赛，达到以赛促学、以赛促教、以赛促改，不断提高人才培养质量之目的。</w:t>
      </w:r>
    </w:p>
    <w:p>
      <w:pPr>
        <w:numPr>
          <w:ilvl w:val="0"/>
          <w:numId w:val="5"/>
        </w:numPr>
        <w:spacing w:line="240" w:lineRule="auto"/>
        <w:ind w:firstLine="480" w:firstLineChars="200"/>
        <w:rPr>
          <w:rFonts w:hint="eastAsia" w:ascii="宋体" w:hAnsi="宋体" w:eastAsia="宋体" w:cs="宋体"/>
          <w:sz w:val="24"/>
        </w:rPr>
      </w:pPr>
      <w:r>
        <w:rPr>
          <w:rFonts w:hint="eastAsia" w:ascii="宋体" w:hAnsi="宋体" w:eastAsia="宋体" w:cs="宋体"/>
          <w:sz w:val="24"/>
        </w:rPr>
        <w:t>竞赛内容</w:t>
      </w:r>
    </w:p>
    <w:p>
      <w:pPr>
        <w:spacing w:line="240" w:lineRule="auto"/>
        <w:ind w:firstLine="480" w:firstLineChars="200"/>
        <w:rPr>
          <w:rFonts w:hint="eastAsia" w:ascii="宋体" w:hAnsi="宋体" w:eastAsia="宋体" w:cs="宋体"/>
          <w:sz w:val="24"/>
        </w:rPr>
      </w:pPr>
      <w:r>
        <w:rPr>
          <w:rFonts w:hint="eastAsia" w:ascii="宋体" w:hAnsi="宋体" w:eastAsia="宋体" w:cs="宋体"/>
          <w:sz w:val="24"/>
        </w:rPr>
        <w:t>赛项以企业关键岗位的核心技能为竞赛内容，涵盖了专业主干课程，促进高等职业教育教学改革，通过竞赛，考察学生职业道德、职业素养、创新意识、创新精神，技术技能水平和创业能力。比赛采用个人与团体赛方式，以大学生艺术设计大赛、大学生设计技能大赛、大学生计算机设计大赛为竞赛内容，全面考察学生的综合设计能力，空间规划能力、装饰搭配能力、创意创新能力、团队合作能力，提高学生利用电脑制图的软件设计能力。</w:t>
      </w:r>
    </w:p>
    <w:p>
      <w:pPr>
        <w:numPr>
          <w:ilvl w:val="0"/>
          <w:numId w:val="5"/>
        </w:numPr>
        <w:spacing w:line="240" w:lineRule="auto"/>
        <w:ind w:firstLine="480" w:firstLineChars="200"/>
        <w:rPr>
          <w:rFonts w:hint="eastAsia" w:ascii="宋体" w:hAnsi="宋体" w:eastAsia="宋体" w:cs="宋体"/>
          <w:sz w:val="24"/>
        </w:rPr>
      </w:pPr>
      <w:r>
        <w:rPr>
          <w:rFonts w:hint="eastAsia" w:ascii="宋体" w:hAnsi="宋体" w:eastAsia="宋体" w:cs="宋体"/>
          <w:sz w:val="24"/>
        </w:rPr>
        <w:t>竞赛方式</w:t>
      </w:r>
    </w:p>
    <w:p>
      <w:pPr>
        <w:spacing w:line="240" w:lineRule="auto"/>
        <w:ind w:firstLine="480" w:firstLineChars="200"/>
        <w:rPr>
          <w:rFonts w:hint="eastAsia" w:ascii="宋体" w:hAnsi="宋体" w:eastAsia="宋体" w:cs="宋体"/>
          <w:sz w:val="24"/>
        </w:rPr>
      </w:pPr>
      <w:r>
        <w:rPr>
          <w:rFonts w:hint="eastAsia" w:ascii="宋体" w:hAnsi="宋体" w:eastAsia="宋体" w:cs="宋体"/>
          <w:sz w:val="24"/>
        </w:rPr>
        <w:t>内容要求：主题鲜明、内涵深刻；符合国家政策法规；表达严谨、清晰准确、易认易记、说服力强；视觉感强；综合效果突出。</w:t>
      </w:r>
    </w:p>
    <w:p>
      <w:pPr>
        <w:spacing w:line="240" w:lineRule="auto"/>
        <w:ind w:firstLine="360" w:firstLineChars="150"/>
        <w:rPr>
          <w:rFonts w:hint="eastAsia" w:ascii="宋体" w:hAnsi="宋体" w:eastAsia="宋体" w:cs="宋体"/>
          <w:sz w:val="24"/>
        </w:rPr>
      </w:pPr>
      <w:r>
        <w:rPr>
          <w:rFonts w:hint="eastAsia" w:ascii="宋体" w:hAnsi="宋体" w:eastAsia="宋体" w:cs="宋体"/>
          <w:sz w:val="24"/>
        </w:rPr>
        <w:t xml:space="preserve"> 其它要求：所有参赛作品必须为原创作品。严禁抄袭及剽窃他人作品，禁止转载或引用涉及版权问题的作品。评委将对所有参评作品进行全面审查，如发现抄袭剽窃等行为，给予严肃处理。</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rPr>
        <w:t>团体赛项目；学生可以自由组队，每支参赛队由2名参赛选手，2名指导老师（学生选择指导老师）。</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5）实习实训环节。实习实训是提升学生实践操作能力的重要环节，专业任课教师需重视实践教学环节的教学设计，重点抓实践教学过程的管理，细化任务流程，强调过程考核，发挥学生团队意识，集体意识，提高实践教学效果。</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6）考核环节。课程教学效果的考核需强调适用性和实战性，以课程涉及到的实际工作岗位技能点为基础，不拘泥于纸质的试卷，创新考核形式，同时，强调教学过程考核，严格按照课程考核相关规定，细化到日常教学过程中去，激发学生学习积极性，提高教学效果。</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7）专业综合实训（设计）环节需强调与实际工作岗位的衔接，创设仿真虚拟商业社会环境，细化专业工作岗位，强调团队意识，从而让学生感受真实的工作环境，强化岗位意识和团队意识，提升实践操作能力和职业素养，为学生顺利走上职业岗位打下坚实基础。</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2.教学过程管理要求</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（1）学习领域课程考核。全面优化过程考核评价体系。必修课程成绩由平时成绩和期末考试成绩二部分组成，</w:t>
      </w:r>
      <w:r>
        <w:rPr>
          <w:rFonts w:hint="eastAsia" w:ascii="宋体" w:hAnsi="宋体" w:eastAsia="宋体" w:cs="宋体"/>
          <w:sz w:val="24"/>
          <w:szCs w:val="28"/>
        </w:rPr>
        <w:t>必修课平时实训作业成绩占60%，期末考试实践作业成绩占40%；</w:t>
      </w:r>
      <w:r>
        <w:rPr>
          <w:rFonts w:hint="eastAsia" w:ascii="宋体" w:hAnsi="宋体" w:eastAsia="宋体" w:cs="宋体"/>
          <w:sz w:val="24"/>
          <w:szCs w:val="24"/>
        </w:rPr>
        <w:t>理论</w:t>
      </w:r>
      <w:r>
        <w:rPr>
          <w:rFonts w:hint="eastAsia" w:ascii="宋体" w:hAnsi="宋体" w:eastAsia="宋体" w:cs="宋体"/>
          <w:sz w:val="24"/>
          <w:szCs w:val="28"/>
        </w:rPr>
        <w:t>选修课平时成绩占50%，期末考试成绩占50%，</w:t>
      </w:r>
      <w:r>
        <w:rPr>
          <w:rFonts w:hint="eastAsia" w:ascii="宋体" w:hAnsi="宋体" w:eastAsia="宋体" w:cs="宋体"/>
          <w:sz w:val="24"/>
          <w:szCs w:val="24"/>
        </w:rPr>
        <w:t>实训</w:t>
      </w:r>
      <w:r>
        <w:rPr>
          <w:rFonts w:hint="eastAsia" w:ascii="宋体" w:hAnsi="宋体" w:eastAsia="宋体" w:cs="宋体"/>
          <w:sz w:val="24"/>
          <w:szCs w:val="28"/>
        </w:rPr>
        <w:t>选修课平时成绩占60%，期末考试成绩占40%；实训作业以实训项目操作考核为主，将过程考核与结果考核、个人考核与小组考核结合起来，不仅评定学生的个人实践操作能力，而且评定学生在实践活动中的协作能力和沟通能力。</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（2）顶岗实习考核。（依据实践教学管理规定制定）</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3.自我评估要求</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（1）针对高职生源特点，采取院、系、教研室三级教学管理模式，学校管理与学生自主管理相结合。建立健全教学管理制度、加强教学计划管理，规范教学运行管理，加强教学质量管理与评价。</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（2）定期总结并撰写人才培养质量报告，对人才培养计划的落实效果进行总结，特别是人才培养模式改革、校企合作、课程改革、教学资源建设、技能大赛、实习实训等方面的进展情况。</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4.持续改进要求</w:t>
      </w:r>
    </w:p>
    <w:p>
      <w:pPr>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每年积极开展毕业生跟踪调查和社会评价调研，了解用人单位对本专业人才需求的变化，以及本专业人才培养规格存在的问题，及时进行人才培养模式、课程体系、实践体系、教学方法等领域的改革。  </w:t>
      </w:r>
    </w:p>
    <w:p>
      <w:pPr>
        <w:adjustRightInd w:val="0"/>
        <w:snapToGrid w:val="0"/>
        <w:spacing w:beforeLines="50" w:line="240" w:lineRule="auto"/>
        <w:ind w:firstLine="482"/>
        <w:rPr>
          <w:rFonts w:hint="eastAsia" w:ascii="宋体" w:hAnsi="宋体" w:eastAsia="宋体" w:cs="宋体"/>
          <w:b/>
          <w:sz w:val="24"/>
          <w:szCs w:val="24"/>
        </w:rPr>
      </w:pPr>
      <w:bookmarkStart w:id="1" w:name="_Toc383940012"/>
      <w:r>
        <w:rPr>
          <w:rFonts w:hint="eastAsia" w:ascii="宋体" w:hAnsi="宋体" w:eastAsia="宋体" w:cs="宋体"/>
          <w:b/>
          <w:sz w:val="24"/>
          <w:szCs w:val="24"/>
        </w:rPr>
        <w:t>九、毕业要求</w:t>
      </w:r>
    </w:p>
    <w:p>
      <w:pPr>
        <w:spacing w:line="240" w:lineRule="auto"/>
        <w:ind w:firstLine="480" w:firstLineChars="200"/>
        <w:rPr>
          <w:rFonts w:hint="eastAsia" w:ascii="宋体" w:hAnsi="宋体" w:eastAsia="宋体" w:cs="宋体"/>
          <w:sz w:val="24"/>
          <w:szCs w:val="28"/>
        </w:rPr>
      </w:pPr>
      <w:r>
        <w:rPr>
          <w:rFonts w:hint="eastAsia" w:ascii="宋体" w:hAnsi="宋体" w:eastAsia="宋体" w:cs="宋体"/>
          <w:sz w:val="24"/>
          <w:szCs w:val="24"/>
        </w:rPr>
        <w:t>本专业毕业最低学分要求为</w:t>
      </w:r>
      <w:r>
        <w:rPr>
          <w:rFonts w:hint="eastAsia" w:ascii="宋体" w:hAnsi="宋体" w:eastAsia="宋体" w:cs="宋体"/>
          <w:sz w:val="24"/>
        </w:rPr>
        <w:t>107</w:t>
      </w:r>
      <w:r>
        <w:rPr>
          <w:rFonts w:hint="eastAsia" w:ascii="宋体" w:hAnsi="宋体" w:eastAsia="宋体" w:cs="宋体"/>
          <w:sz w:val="24"/>
          <w:szCs w:val="24"/>
        </w:rPr>
        <w:t>学分，其中必修课程91学分，选修课程16学分，素质学分X。</w:t>
      </w:r>
    </w:p>
    <w:p>
      <w:pPr>
        <w:adjustRightInd w:val="0"/>
        <w:snapToGrid w:val="0"/>
        <w:spacing w:beforeLines="50" w:line="240" w:lineRule="auto"/>
        <w:ind w:firstLine="482" w:firstLineChars="200"/>
        <w:rPr>
          <w:rFonts w:hint="eastAsia" w:ascii="宋体" w:hAnsi="宋体" w:eastAsia="宋体" w:cs="宋体"/>
          <w:b/>
          <w:sz w:val="24"/>
          <w:szCs w:val="24"/>
          <w:highlight w:val="yellow"/>
        </w:rPr>
      </w:pPr>
      <w:r>
        <w:rPr>
          <w:rFonts w:hint="eastAsia" w:ascii="宋体" w:hAnsi="宋体" w:eastAsia="宋体" w:cs="宋体"/>
          <w:b/>
          <w:sz w:val="24"/>
          <w:szCs w:val="24"/>
        </w:rPr>
        <w:t>十、素质学分要求（参照学院素质学分管理规定</w:t>
      </w:r>
      <w:bookmarkEnd w:id="1"/>
      <w:r>
        <w:rPr>
          <w:rFonts w:hint="eastAsia" w:ascii="宋体" w:hAnsi="宋体" w:eastAsia="宋体" w:cs="宋体"/>
          <w:b/>
          <w:sz w:val="24"/>
          <w:szCs w:val="24"/>
        </w:rPr>
        <w:t>）</w:t>
      </w:r>
    </w:p>
    <w:p>
      <w:pPr>
        <w:adjustRightInd w:val="0"/>
        <w:snapToGrid w:val="0"/>
        <w:spacing w:line="240" w:lineRule="auto"/>
        <w:ind w:firstLine="480"/>
        <w:rPr>
          <w:rFonts w:hint="eastAsia" w:ascii="宋体" w:hAnsi="宋体" w:eastAsia="宋体" w:cs="宋体"/>
          <w:b/>
          <w:sz w:val="24"/>
          <w:szCs w:val="24"/>
        </w:rPr>
      </w:pPr>
      <w:r>
        <w:rPr>
          <w:rFonts w:hint="eastAsia" w:ascii="宋体" w:hAnsi="宋体" w:eastAsia="宋体" w:cs="宋体"/>
          <w:b/>
          <w:sz w:val="24"/>
          <w:szCs w:val="24"/>
        </w:rPr>
        <w:t>十一、附录</w:t>
      </w: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ind w:firstLine="480"/>
        <w:rPr>
          <w:rFonts w:hint="eastAsia" w:ascii="宋体" w:hAnsi="宋体" w:eastAsia="宋体" w:cs="宋体"/>
          <w:b/>
          <w:sz w:val="24"/>
          <w:szCs w:val="24"/>
        </w:rPr>
      </w:pPr>
    </w:p>
    <w:p>
      <w:pPr>
        <w:adjustRightInd w:val="0"/>
        <w:snapToGrid w:val="0"/>
        <w:spacing w:line="240" w:lineRule="auto"/>
        <w:rPr>
          <w:rFonts w:hint="eastAsia" w:ascii="宋体" w:hAnsi="宋体" w:eastAsia="宋体" w:cs="宋体"/>
          <w:b/>
          <w:sz w:val="24"/>
          <w:szCs w:val="24"/>
        </w:rPr>
      </w:pPr>
    </w:p>
    <w:p>
      <w:pPr>
        <w:adjustRightInd w:val="0"/>
        <w:snapToGrid w:val="0"/>
        <w:spacing w:line="360" w:lineRule="auto"/>
        <w:ind w:firstLine="480"/>
        <w:rPr>
          <w:rFonts w:ascii="宋体"/>
          <w:b/>
          <w:szCs w:val="21"/>
        </w:rPr>
      </w:pPr>
      <w:r>
        <w:rPr>
          <w:rFonts w:hint="eastAsia" w:ascii="宋体" w:hAnsi="宋体"/>
          <w:b/>
          <w:szCs w:val="21"/>
        </w:rPr>
        <w:t>附录</w:t>
      </w:r>
      <w:r>
        <w:rPr>
          <w:rFonts w:ascii="宋体" w:hAnsi="宋体"/>
          <w:b/>
          <w:szCs w:val="21"/>
        </w:rPr>
        <w:t>1</w:t>
      </w:r>
    </w:p>
    <w:tbl>
      <w:tblPr>
        <w:tblStyle w:val="10"/>
        <w:tblpPr w:leftFromText="180" w:rightFromText="180" w:vertAnchor="text" w:horzAnchor="page" w:tblpXSpec="center" w:tblpY="260"/>
        <w:tblOverlap w:val="never"/>
        <w:tblW w:w="10335" w:type="dxa"/>
        <w:jc w:val="center"/>
        <w:shd w:val="clear" w:color="auto" w:fill="auto"/>
        <w:tblLayout w:type="autofit"/>
        <w:tblCellMar>
          <w:top w:w="0" w:type="dxa"/>
          <w:left w:w="108" w:type="dxa"/>
          <w:bottom w:w="0" w:type="dxa"/>
          <w:right w:w="108" w:type="dxa"/>
        </w:tblCellMar>
      </w:tblPr>
      <w:tblGrid>
        <w:gridCol w:w="578"/>
        <w:gridCol w:w="501"/>
        <w:gridCol w:w="411"/>
        <w:gridCol w:w="1150"/>
        <w:gridCol w:w="1174"/>
        <w:gridCol w:w="784"/>
        <w:gridCol w:w="634"/>
        <w:gridCol w:w="565"/>
        <w:gridCol w:w="440"/>
        <w:gridCol w:w="516"/>
        <w:gridCol w:w="496"/>
        <w:gridCol w:w="496"/>
        <w:gridCol w:w="441"/>
        <w:gridCol w:w="441"/>
        <w:gridCol w:w="394"/>
        <w:gridCol w:w="468"/>
        <w:gridCol w:w="846"/>
      </w:tblGrid>
      <w:tr>
        <w:tblPrEx>
          <w:shd w:val="clear" w:color="auto" w:fill="auto"/>
          <w:tblCellMar>
            <w:top w:w="0" w:type="dxa"/>
            <w:left w:w="108" w:type="dxa"/>
            <w:bottom w:w="0" w:type="dxa"/>
            <w:right w:w="108" w:type="dxa"/>
          </w:tblCellMar>
        </w:tblPrEx>
        <w:trPr>
          <w:trHeight w:val="435" w:hRule="atLeast"/>
          <w:jc w:val="center"/>
        </w:trPr>
        <w:tc>
          <w:tcPr>
            <w:tcW w:w="10335"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4"/>
                <w:szCs w:val="24"/>
                <w:u w:val="none"/>
                <w:lang w:val="en-US" w:eastAsia="zh-CN" w:bidi="ar"/>
              </w:rPr>
              <w:t>艺术设计专业（普招）教学计划安排表</w:t>
            </w:r>
          </w:p>
        </w:tc>
      </w:tr>
      <w:tr>
        <w:tblPrEx>
          <w:tblCellMar>
            <w:top w:w="0" w:type="dxa"/>
            <w:left w:w="108" w:type="dxa"/>
            <w:bottom w:w="0" w:type="dxa"/>
            <w:right w:w="108" w:type="dxa"/>
          </w:tblCellMar>
        </w:tblPrEx>
        <w:trPr>
          <w:trHeight w:val="555" w:hRule="atLeast"/>
          <w:jc w:val="center"/>
        </w:trPr>
        <w:tc>
          <w:tcPr>
            <w:tcW w:w="10335" w:type="dxa"/>
            <w:gridSpan w:val="1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4"/>
                <w:szCs w:val="24"/>
                <w:u w:val="none"/>
                <w:lang w:val="en-US" w:eastAsia="zh-CN" w:bidi="ar"/>
              </w:rPr>
              <w:t>年级：2019级        招生对象：普通招生        学制：3年      制定时间：2019年8月</w:t>
            </w:r>
          </w:p>
        </w:tc>
      </w:tr>
      <w:tr>
        <w:tblPrEx>
          <w:tblCellMar>
            <w:top w:w="0" w:type="dxa"/>
            <w:left w:w="108" w:type="dxa"/>
            <w:bottom w:w="0" w:type="dxa"/>
            <w:right w:w="108" w:type="dxa"/>
          </w:tblCellMar>
        </w:tblPrEx>
        <w:trPr>
          <w:trHeight w:val="270"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课程属性</w:t>
            </w:r>
          </w:p>
        </w:tc>
        <w:tc>
          <w:tcPr>
            <w:tcW w:w="912"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课程性质</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课程编码</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课程名称</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总课时数</w:t>
            </w:r>
          </w:p>
        </w:tc>
        <w:tc>
          <w:tcPr>
            <w:tcW w:w="1199" w:type="dxa"/>
            <w:gridSpan w:val="2"/>
            <w:vMerge w:val="restart"/>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学时结构</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考核方式</w:t>
            </w:r>
          </w:p>
        </w:tc>
        <w:tc>
          <w:tcPr>
            <w:tcW w:w="2784" w:type="dxa"/>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各学期周学时分配</w:t>
            </w:r>
          </w:p>
        </w:tc>
        <w:tc>
          <w:tcPr>
            <w:tcW w:w="468"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学分</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说明</w:t>
            </w: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99" w:type="dxa"/>
            <w:gridSpan w:val="2"/>
            <w:vMerge w:val="continue"/>
            <w:tcBorders>
              <w:top w:val="single" w:color="000000" w:sz="4" w:space="0"/>
              <w:left w:val="single" w:color="000000" w:sz="4" w:space="0"/>
              <w:bottom w:val="nil"/>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2784" w:type="dxa"/>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理论</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实践</w:t>
            </w:r>
          </w:p>
        </w:tc>
        <w:tc>
          <w:tcPr>
            <w:tcW w:w="44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一</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二</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三</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四</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五</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六</w:t>
            </w:r>
          </w:p>
        </w:tc>
        <w:tc>
          <w:tcPr>
            <w:tcW w:w="468"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r>
      <w:tr>
        <w:tblPrEx>
          <w:tblCellMar>
            <w:top w:w="0" w:type="dxa"/>
            <w:left w:w="108" w:type="dxa"/>
            <w:bottom w:w="0" w:type="dxa"/>
            <w:right w:w="108" w:type="dxa"/>
          </w:tblCellMar>
        </w:tblPrEx>
        <w:trPr>
          <w:trHeight w:val="390"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公共基础课</w:t>
            </w:r>
          </w:p>
        </w:tc>
        <w:tc>
          <w:tcPr>
            <w:tcW w:w="912"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公共必修课</w:t>
            </w: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14058001</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思想道德修养与法律基础</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36</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12</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4*12</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 xml:space="preserve"> 1.考核方式用下列符号表示：“1”——考试，“2”——考查，“3”——实践技能考核。</w:t>
            </w:r>
            <w:r>
              <w:rPr>
                <w:rFonts w:hint="eastAsia" w:ascii="宋体" w:hAnsi="宋体" w:eastAsia="宋体" w:cs="宋体"/>
                <w:i w:val="0"/>
                <w:iCs w:val="0"/>
                <w:color w:val="000000"/>
                <w:kern w:val="0"/>
                <w:sz w:val="14"/>
                <w:szCs w:val="14"/>
                <w:u w:val="none"/>
                <w:lang w:val="en-US" w:eastAsia="zh-CN" w:bidi="ar"/>
              </w:rPr>
              <w:br w:type="textWrapping"/>
            </w:r>
            <w:r>
              <w:rPr>
                <w:rFonts w:hint="eastAsia" w:ascii="宋体" w:hAnsi="宋体" w:eastAsia="宋体" w:cs="宋体"/>
                <w:i w:val="0"/>
                <w:iCs w:val="0"/>
                <w:color w:val="000000"/>
                <w:kern w:val="0"/>
                <w:sz w:val="14"/>
                <w:szCs w:val="14"/>
                <w:u w:val="none"/>
                <w:lang w:val="en-US" w:eastAsia="zh-CN" w:bidi="ar"/>
              </w:rPr>
              <w:t xml:space="preserve"> 2.“思修”与“毛概”课程的实践学时主要安排学生进行社会实践活动，计1个学分。内容包括为他人服务、社会调研活动等。学生完成此项工作，计录该项学分。</w:t>
            </w:r>
            <w:r>
              <w:rPr>
                <w:rFonts w:hint="eastAsia" w:ascii="宋体" w:hAnsi="宋体" w:eastAsia="宋体" w:cs="宋体"/>
                <w:i w:val="0"/>
                <w:iCs w:val="0"/>
                <w:color w:val="000000"/>
                <w:kern w:val="0"/>
                <w:sz w:val="14"/>
                <w:szCs w:val="14"/>
                <w:u w:val="none"/>
                <w:lang w:val="en-US" w:eastAsia="zh-CN" w:bidi="ar"/>
              </w:rPr>
              <w:br w:type="textWrapping"/>
            </w:r>
            <w:r>
              <w:rPr>
                <w:rFonts w:hint="eastAsia" w:ascii="宋体" w:hAnsi="宋体" w:eastAsia="宋体" w:cs="宋体"/>
                <w:i w:val="0"/>
                <w:iCs w:val="0"/>
                <w:color w:val="000000"/>
                <w:kern w:val="0"/>
                <w:sz w:val="14"/>
                <w:szCs w:val="14"/>
                <w:u w:val="none"/>
                <w:lang w:val="en-US" w:eastAsia="zh-CN" w:bidi="ar"/>
              </w:rPr>
              <w:t>3.计算机应用基础实行省考代替校考；英语应用能力考试在第2学期实行省考代替校考，要求参加英语A（B）级考试。</w:t>
            </w:r>
            <w:r>
              <w:rPr>
                <w:rFonts w:hint="eastAsia" w:ascii="宋体" w:hAnsi="宋体" w:eastAsia="宋体" w:cs="宋体"/>
                <w:i w:val="0"/>
                <w:iCs w:val="0"/>
                <w:color w:val="000000"/>
                <w:kern w:val="0"/>
                <w:sz w:val="14"/>
                <w:szCs w:val="14"/>
                <w:u w:val="none"/>
                <w:lang w:val="en-US" w:eastAsia="zh-CN" w:bidi="ar"/>
              </w:rPr>
              <w:br w:type="textWrapping"/>
            </w:r>
            <w:r>
              <w:rPr>
                <w:rFonts w:hint="eastAsia" w:ascii="宋体" w:hAnsi="宋体" w:eastAsia="宋体" w:cs="宋体"/>
                <w:i w:val="0"/>
                <w:iCs w:val="0"/>
                <w:color w:val="000000"/>
                <w:kern w:val="0"/>
                <w:sz w:val="14"/>
                <w:szCs w:val="14"/>
                <w:u w:val="none"/>
                <w:lang w:val="en-US" w:eastAsia="zh-CN" w:bidi="ar"/>
              </w:rPr>
              <w:t xml:space="preserve">4.专业选修课为16选8，共16个学分，具体见附表。公共选修课平均分配在第一至第四个学期，每学期选修不低于3个学分。 </w:t>
            </w:r>
            <w:r>
              <w:rPr>
                <w:rFonts w:hint="eastAsia" w:ascii="宋体" w:hAnsi="宋体" w:eastAsia="宋体" w:cs="宋体"/>
                <w:i w:val="0"/>
                <w:iCs w:val="0"/>
                <w:color w:val="000000"/>
                <w:kern w:val="0"/>
                <w:sz w:val="14"/>
                <w:szCs w:val="14"/>
                <w:u w:val="none"/>
                <w:lang w:val="en-US" w:eastAsia="zh-CN" w:bidi="ar"/>
              </w:rPr>
              <w:br w:type="textWrapping"/>
            </w:r>
            <w:r>
              <w:rPr>
                <w:rFonts w:hint="eastAsia" w:ascii="宋体" w:hAnsi="宋体" w:eastAsia="宋体" w:cs="宋体"/>
                <w:i w:val="0"/>
                <w:iCs w:val="0"/>
                <w:color w:val="000000"/>
                <w:kern w:val="0"/>
                <w:sz w:val="14"/>
                <w:szCs w:val="14"/>
                <w:u w:val="none"/>
                <w:lang w:val="en-US" w:eastAsia="zh-CN" w:bidi="ar"/>
              </w:rPr>
              <w:t xml:space="preserve"> </w:t>
            </w:r>
          </w:p>
        </w:tc>
      </w:tr>
      <w:tr>
        <w:tblPrEx>
          <w:tblCellMar>
            <w:top w:w="0" w:type="dxa"/>
            <w:left w:w="108" w:type="dxa"/>
            <w:bottom w:w="0" w:type="dxa"/>
            <w:right w:w="108" w:type="dxa"/>
          </w:tblCellMar>
        </w:tblPrEx>
        <w:trPr>
          <w:trHeight w:val="585"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14058002</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毛泽东思想和中国特色社会主义理论体系概论</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64</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4*16</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14058006</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实用英语</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56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56</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4*14</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3.5</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39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14058033</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国防教育与军事训练</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12</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60</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36*2</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14058014</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计算机应用基础</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56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28</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4*14</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3.5</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14058008</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体育</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68</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8</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60</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2*14</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2*16</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2*2</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14058010</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形势与政策</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39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14058036</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职业生涯规划</w:t>
            </w:r>
            <w:r>
              <w:rPr>
                <w:rFonts w:hint="eastAsia" w:ascii="宋体" w:hAnsi="宋体" w:eastAsia="宋体" w:cs="宋体"/>
                <w:i w:val="0"/>
                <w:iCs w:val="0"/>
                <w:color w:val="000000"/>
                <w:kern w:val="0"/>
                <w:sz w:val="14"/>
                <w:szCs w:val="14"/>
                <w:u w:val="none"/>
                <w:lang w:val="en-US" w:eastAsia="zh-CN" w:bidi="ar"/>
              </w:rPr>
              <w:br w:type="textWrapping"/>
            </w:r>
            <w:r>
              <w:rPr>
                <w:rFonts w:hint="eastAsia" w:ascii="宋体" w:hAnsi="宋体" w:eastAsia="宋体" w:cs="宋体"/>
                <w:i w:val="0"/>
                <w:iCs w:val="0"/>
                <w:color w:val="000000"/>
                <w:kern w:val="0"/>
                <w:sz w:val="14"/>
                <w:szCs w:val="14"/>
                <w:u w:val="none"/>
                <w:lang w:val="en-US" w:eastAsia="zh-CN" w:bidi="ar"/>
              </w:rPr>
              <w:t>和就业指导</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30</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30</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2*6</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5"/>
                <w:szCs w:val="15"/>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39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14058031</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大学生心理健康教育</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4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5"/>
                <w:szCs w:val="15"/>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14058061</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大学语文</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20</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12</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2*16</w:t>
            </w:r>
          </w:p>
        </w:tc>
        <w:tc>
          <w:tcPr>
            <w:tcW w:w="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extDirection w:val="tbRlV"/>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14058059</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“明德*践行”</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4*4</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23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公共限定选修课程</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192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192</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Arial" w:hAnsi="Arial" w:eastAsia="宋体"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Arial" w:hAnsi="Arial" w:eastAsia="宋体"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12</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381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小计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666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478</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188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14"/>
                <w:szCs w:val="14"/>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14</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8</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0</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0</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0</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40</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专业（技能）课</w:t>
            </w:r>
          </w:p>
        </w:tc>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专业</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必修课</w:t>
            </w:r>
          </w:p>
        </w:tc>
        <w:tc>
          <w:tcPr>
            <w:tcW w:w="41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专业基础课</w:t>
            </w: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67010001</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设计素描</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56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28</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4*14</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67010002</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设计色彩</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56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28</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4*14</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14058027</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设计速写</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56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28</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4*14</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61170701058</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构成基础</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144</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60</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84</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8*18</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61170701059</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人体工程学</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12</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20</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2*16</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 xml:space="preserve"> </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39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61170701060</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制图设计（AutoCAD）</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4*18</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39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61170701061</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制图设计（3DSMAX）</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4*18</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61170701062</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设计表现技法</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4*18</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39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61170701063</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装饰材料与施工工艺</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4*18</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专业核心课</w:t>
            </w: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61170701042</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展示设计*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4*18</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61170701043</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家具设计*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8*9</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61170701044</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居住空间设计*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8*9</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61170701045</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室内陈设设计*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8*9</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61170703011</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商业空间设计*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64</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40</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8*8</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专业拓展课</w:t>
            </w: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61170701077</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软装设计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24</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8*9</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2"/>
                <w:szCs w:val="12"/>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61170701078</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装饰设计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12</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20</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4*8</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36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专业实践课</w:t>
            </w: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61170701071</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采风写生</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20</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20</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1周</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1.5</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39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2"/>
                <w:szCs w:val="12"/>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63170101020</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毕业综合实训（设计）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72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72</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3周</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4.5</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2"/>
                <w:szCs w:val="12"/>
                <w:u w:val="none"/>
              </w:rPr>
            </w:pPr>
          </w:p>
        </w:tc>
        <w:tc>
          <w:tcPr>
            <w:tcW w:w="11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61170701070</w:t>
            </w:r>
          </w:p>
        </w:tc>
        <w:tc>
          <w:tcPr>
            <w:tcW w:w="11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顶岗实习</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432</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432</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4周</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14周</w:t>
            </w: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27</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439"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36"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专业选修课</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256</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160</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96</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96"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4</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16</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3814"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小计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1868</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568</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1300</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bCs/>
                <w:i w:val="0"/>
                <w:iCs w:val="0"/>
                <w:color w:val="000000"/>
                <w:sz w:val="14"/>
                <w:szCs w:val="14"/>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12</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18</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20</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20</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20</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113</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r>
        <w:tblPrEx>
          <w:tblCellMar>
            <w:top w:w="0" w:type="dxa"/>
            <w:left w:w="108" w:type="dxa"/>
            <w:bottom w:w="0" w:type="dxa"/>
            <w:right w:w="108" w:type="dxa"/>
          </w:tblCellMar>
        </w:tblPrEx>
        <w:trPr>
          <w:trHeight w:val="270" w:hRule="atLeast"/>
          <w:jc w:val="center"/>
        </w:trPr>
        <w:tc>
          <w:tcPr>
            <w:tcW w:w="381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kern w:val="0"/>
                <w:sz w:val="14"/>
                <w:szCs w:val="14"/>
                <w:u w:val="none"/>
                <w:lang w:val="en-US" w:eastAsia="zh-CN" w:bidi="ar"/>
              </w:rPr>
              <w:t>合计</w:t>
            </w:r>
          </w:p>
        </w:tc>
        <w:tc>
          <w:tcPr>
            <w:tcW w:w="7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2534</w:t>
            </w:r>
          </w:p>
        </w:tc>
        <w:tc>
          <w:tcPr>
            <w:tcW w:w="6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1046</w:t>
            </w:r>
          </w:p>
        </w:tc>
        <w:tc>
          <w:tcPr>
            <w:tcW w:w="5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1488</w:t>
            </w:r>
          </w:p>
        </w:tc>
        <w:tc>
          <w:tcPr>
            <w:tcW w:w="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4"/>
                <w:szCs w:val="14"/>
                <w:u w:val="none"/>
              </w:rPr>
            </w:pPr>
          </w:p>
        </w:tc>
        <w:tc>
          <w:tcPr>
            <w:tcW w:w="5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26</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26</w:t>
            </w:r>
          </w:p>
        </w:tc>
        <w:tc>
          <w:tcPr>
            <w:tcW w:w="4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20</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20</w:t>
            </w:r>
          </w:p>
        </w:tc>
        <w:tc>
          <w:tcPr>
            <w:tcW w:w="4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12</w:t>
            </w:r>
          </w:p>
        </w:tc>
        <w:tc>
          <w:tcPr>
            <w:tcW w:w="3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kern w:val="0"/>
                <w:sz w:val="14"/>
                <w:szCs w:val="14"/>
                <w:u w:val="none"/>
                <w:lang w:val="en-US" w:eastAsia="zh-CN" w:bidi="ar"/>
              </w:rPr>
              <w:t>153</w:t>
            </w:r>
          </w:p>
        </w:tc>
        <w:tc>
          <w:tcPr>
            <w:tcW w:w="8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top"/>
          </w:tcPr>
          <w:p>
            <w:pPr>
              <w:jc w:val="left"/>
              <w:rPr>
                <w:rFonts w:hint="eastAsia" w:ascii="宋体" w:hAnsi="宋体" w:eastAsia="宋体" w:cs="宋体"/>
                <w:i w:val="0"/>
                <w:iCs w:val="0"/>
                <w:color w:val="000000"/>
                <w:sz w:val="14"/>
                <w:szCs w:val="14"/>
                <w:u w:val="none"/>
              </w:rPr>
            </w:pPr>
          </w:p>
        </w:tc>
      </w:tr>
    </w:tbl>
    <w:p>
      <w:pPr>
        <w:adjustRightInd w:val="0"/>
        <w:snapToGrid w:val="0"/>
        <w:spacing w:line="360" w:lineRule="auto"/>
        <w:rPr>
          <w:rFonts w:ascii="宋体"/>
          <w:b/>
          <w:szCs w:val="21"/>
        </w:rPr>
      </w:pPr>
    </w:p>
    <w:p>
      <w:pPr>
        <w:adjustRightInd w:val="0"/>
        <w:snapToGrid w:val="0"/>
        <w:spacing w:line="360" w:lineRule="auto"/>
        <w:rPr>
          <w:rFonts w:hint="eastAsia" w:ascii="宋体" w:hAnsi="宋体" w:eastAsia="宋体" w:cs="宋体"/>
          <w:b/>
          <w:sz w:val="24"/>
          <w:szCs w:val="24"/>
        </w:rPr>
      </w:pPr>
    </w:p>
    <w:p>
      <w:pPr>
        <w:adjustRightInd w:val="0"/>
        <w:snapToGrid w:val="0"/>
        <w:spacing w:line="360" w:lineRule="auto"/>
        <w:ind w:firstLine="480"/>
        <w:rPr>
          <w:rFonts w:hint="eastAsia" w:ascii="宋体" w:hAnsi="宋体" w:eastAsia="宋体" w:cs="宋体"/>
          <w:b/>
          <w:sz w:val="24"/>
          <w:szCs w:val="24"/>
        </w:rPr>
      </w:pPr>
      <w:r>
        <w:rPr>
          <w:rFonts w:hint="eastAsia" w:ascii="宋体" w:hAnsi="宋体" w:eastAsia="宋体" w:cs="宋体"/>
          <w:b/>
          <w:sz w:val="24"/>
          <w:szCs w:val="24"/>
        </w:rPr>
        <w:t>附录2</w:t>
      </w:r>
    </w:p>
    <w:p>
      <w:pPr>
        <w:adjustRightInd w:val="0"/>
        <w:snapToGrid w:val="0"/>
        <w:spacing w:line="360" w:lineRule="auto"/>
        <w:ind w:firstLine="480"/>
        <w:jc w:val="center"/>
        <w:rPr>
          <w:rFonts w:hint="eastAsia" w:ascii="宋体" w:hAnsi="宋体" w:eastAsia="宋体" w:cs="宋体"/>
          <w:b/>
          <w:sz w:val="24"/>
          <w:szCs w:val="24"/>
        </w:rPr>
      </w:pPr>
      <w:r>
        <w:rPr>
          <w:rFonts w:hint="eastAsia" w:ascii="宋体" w:hAnsi="宋体" w:eastAsia="宋体" w:cs="宋体"/>
          <w:b/>
          <w:sz w:val="24"/>
          <w:szCs w:val="24"/>
        </w:rPr>
        <w:t>艺术设计专业教学周数表</w:t>
      </w:r>
    </w:p>
    <w:tbl>
      <w:tblPr>
        <w:tblStyle w:val="10"/>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426"/>
        <w:gridCol w:w="768"/>
        <w:gridCol w:w="769"/>
        <w:gridCol w:w="767"/>
        <w:gridCol w:w="769"/>
        <w:gridCol w:w="769"/>
        <w:gridCol w:w="768"/>
        <w:gridCol w:w="769"/>
        <w:gridCol w:w="768"/>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71" w:type="dxa"/>
            <w:vMerge w:val="restart"/>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年级</w:t>
            </w:r>
          </w:p>
        </w:tc>
        <w:tc>
          <w:tcPr>
            <w:tcW w:w="1426" w:type="dxa"/>
            <w:vMerge w:val="restart"/>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学期</w:t>
            </w:r>
          </w:p>
        </w:tc>
        <w:tc>
          <w:tcPr>
            <w:tcW w:w="6147" w:type="dxa"/>
            <w:gridSpan w:val="8"/>
            <w:vAlign w:val="center"/>
          </w:tcPr>
          <w:p>
            <w:pPr>
              <w:ind w:firstLine="480" w:firstLineChars="2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教学环节及时间分配(周)</w:t>
            </w:r>
          </w:p>
        </w:tc>
        <w:tc>
          <w:tcPr>
            <w:tcW w:w="925" w:type="dxa"/>
            <w:vMerge w:val="restart"/>
            <w:vAlign w:val="center"/>
          </w:tcPr>
          <w:p>
            <w:pPr>
              <w:spacing w:line="324" w:lineRule="auto"/>
              <w:rPr>
                <w:rFonts w:hint="eastAsia" w:ascii="宋体" w:hAnsi="宋体" w:eastAsia="宋体" w:cs="宋体"/>
                <w:color w:val="000000"/>
                <w:sz w:val="24"/>
                <w:szCs w:val="24"/>
              </w:rPr>
            </w:pPr>
            <w:r>
              <w:rPr>
                <w:rFonts w:hint="eastAsia" w:ascii="宋体" w:hAnsi="宋体" w:eastAsia="宋体" w:cs="宋体"/>
                <w:color w:val="000000"/>
                <w:sz w:val="24"/>
                <w:szCs w:val="24"/>
              </w:rPr>
              <w:t>学期总</w:t>
            </w:r>
          </w:p>
          <w:p>
            <w:pPr>
              <w:spacing w:line="324" w:lineRule="auto"/>
              <w:rPr>
                <w:rFonts w:hint="eastAsia" w:ascii="宋体" w:hAnsi="宋体" w:eastAsia="宋体" w:cs="宋体"/>
                <w:color w:val="000000"/>
                <w:sz w:val="24"/>
                <w:szCs w:val="24"/>
              </w:rPr>
            </w:pPr>
            <w:r>
              <w:rPr>
                <w:rFonts w:hint="eastAsia" w:ascii="宋体" w:hAnsi="宋体" w:eastAsia="宋体" w:cs="宋体"/>
                <w:color w:val="000000"/>
                <w:sz w:val="24"/>
                <w:szCs w:val="24"/>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71" w:type="dxa"/>
            <w:vMerge w:val="continue"/>
            <w:vAlign w:val="center"/>
          </w:tcPr>
          <w:p>
            <w:pPr>
              <w:spacing w:line="324" w:lineRule="auto"/>
              <w:ind w:firstLine="480" w:firstLineChars="200"/>
              <w:jc w:val="center"/>
              <w:rPr>
                <w:rFonts w:hint="eastAsia" w:ascii="宋体" w:hAnsi="宋体" w:eastAsia="宋体" w:cs="宋体"/>
                <w:color w:val="000000"/>
                <w:sz w:val="24"/>
                <w:szCs w:val="24"/>
              </w:rPr>
            </w:pPr>
          </w:p>
        </w:tc>
        <w:tc>
          <w:tcPr>
            <w:tcW w:w="1426" w:type="dxa"/>
            <w:vMerge w:val="continue"/>
            <w:vAlign w:val="center"/>
          </w:tcPr>
          <w:p>
            <w:pPr>
              <w:jc w:val="center"/>
              <w:rPr>
                <w:rFonts w:hint="eastAsia" w:ascii="宋体" w:hAnsi="宋体" w:eastAsia="宋体" w:cs="宋体"/>
                <w:color w:val="000000"/>
                <w:sz w:val="24"/>
                <w:szCs w:val="24"/>
              </w:rPr>
            </w:pPr>
          </w:p>
        </w:tc>
        <w:tc>
          <w:tcPr>
            <w:tcW w:w="768" w:type="dxa"/>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入学教育、军训</w:t>
            </w:r>
          </w:p>
        </w:tc>
        <w:tc>
          <w:tcPr>
            <w:tcW w:w="769"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课内</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教学</w:t>
            </w:r>
          </w:p>
        </w:tc>
        <w:tc>
          <w:tcPr>
            <w:tcW w:w="767"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集中实践环节</w:t>
            </w:r>
          </w:p>
        </w:tc>
        <w:tc>
          <w:tcPr>
            <w:tcW w:w="769"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考试</w:t>
            </w:r>
          </w:p>
        </w:tc>
        <w:tc>
          <w:tcPr>
            <w:tcW w:w="769"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节假日</w:t>
            </w:r>
          </w:p>
        </w:tc>
        <w:tc>
          <w:tcPr>
            <w:tcW w:w="768"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毕业设计</w:t>
            </w:r>
          </w:p>
        </w:tc>
        <w:tc>
          <w:tcPr>
            <w:tcW w:w="769"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毕业教育</w:t>
            </w:r>
          </w:p>
        </w:tc>
        <w:tc>
          <w:tcPr>
            <w:tcW w:w="768"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机</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动</w:t>
            </w:r>
          </w:p>
        </w:tc>
        <w:tc>
          <w:tcPr>
            <w:tcW w:w="925" w:type="dxa"/>
            <w:vMerge w:val="continue"/>
            <w:vAlign w:val="center"/>
          </w:tcPr>
          <w:p>
            <w:pPr>
              <w:spacing w:line="324" w:lineRule="auto"/>
              <w:ind w:firstLine="480" w:firstLineChars="20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w:t>
            </w:r>
          </w:p>
        </w:tc>
        <w:tc>
          <w:tcPr>
            <w:tcW w:w="1426" w:type="dxa"/>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第1学期</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767"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8" w:type="dxa"/>
            <w:vAlign w:val="center"/>
          </w:tcPr>
          <w:p>
            <w:pPr>
              <w:spacing w:line="324" w:lineRule="auto"/>
              <w:ind w:firstLine="36" w:firstLineChars="15"/>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25" w:type="dxa"/>
            <w:vAlign w:val="center"/>
          </w:tcPr>
          <w:p>
            <w:pPr>
              <w:spacing w:line="324" w:lineRule="auto"/>
              <w:ind w:firstLine="45" w:firstLineChars="19"/>
              <w:jc w:val="center"/>
              <w:rPr>
                <w:rFonts w:hint="eastAsia" w:ascii="宋体" w:hAnsi="宋体" w:eastAsia="宋体" w:cs="宋体"/>
                <w:color w:val="000000"/>
                <w:sz w:val="24"/>
                <w:szCs w:val="24"/>
              </w:rPr>
            </w:pPr>
            <w:r>
              <w:rPr>
                <w:rFonts w:hint="eastAsia" w:ascii="宋体" w:hAnsi="宋体" w:eastAsia="宋体" w:cs="宋体"/>
                <w:color w:val="00000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spacing w:line="324" w:lineRule="auto"/>
              <w:jc w:val="center"/>
              <w:rPr>
                <w:rFonts w:hint="eastAsia" w:ascii="宋体" w:hAnsi="宋体" w:eastAsia="宋体" w:cs="宋体"/>
                <w:color w:val="000000"/>
                <w:sz w:val="24"/>
                <w:szCs w:val="24"/>
              </w:rPr>
            </w:pPr>
          </w:p>
        </w:tc>
        <w:tc>
          <w:tcPr>
            <w:tcW w:w="1426" w:type="dxa"/>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第2学期</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767"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tcPr>
          <w:p>
            <w:pPr>
              <w:spacing w:line="324" w:lineRule="auto"/>
              <w:ind w:firstLine="62" w:firstLineChars="26"/>
              <w:jc w:val="center"/>
              <w:rPr>
                <w:rFonts w:hint="eastAsia" w:ascii="宋体" w:hAnsi="宋体" w:eastAsia="宋体" w:cs="宋体"/>
                <w:color w:val="000000"/>
                <w:sz w:val="24"/>
                <w:szCs w:val="24"/>
              </w:rPr>
            </w:pPr>
          </w:p>
        </w:tc>
        <w:tc>
          <w:tcPr>
            <w:tcW w:w="768" w:type="dxa"/>
          </w:tcPr>
          <w:p>
            <w:pPr>
              <w:spacing w:line="324" w:lineRule="auto"/>
              <w:ind w:firstLine="36" w:firstLineChars="15"/>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25" w:type="dxa"/>
            <w:vAlign w:val="center"/>
          </w:tcPr>
          <w:p>
            <w:pPr>
              <w:spacing w:line="324" w:lineRule="auto"/>
              <w:ind w:firstLine="45" w:firstLineChars="19"/>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w:t>
            </w:r>
          </w:p>
        </w:tc>
        <w:tc>
          <w:tcPr>
            <w:tcW w:w="1426" w:type="dxa"/>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第3学期</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767"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8" w:type="dxa"/>
            <w:vAlign w:val="center"/>
          </w:tcPr>
          <w:p>
            <w:pPr>
              <w:spacing w:line="324" w:lineRule="auto"/>
              <w:ind w:firstLine="36" w:firstLineChars="15"/>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25" w:type="dxa"/>
            <w:vAlign w:val="center"/>
          </w:tcPr>
          <w:p>
            <w:pPr>
              <w:spacing w:line="324" w:lineRule="auto"/>
              <w:ind w:firstLine="45" w:firstLineChars="19"/>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spacing w:line="324" w:lineRule="auto"/>
              <w:jc w:val="center"/>
              <w:rPr>
                <w:rFonts w:hint="eastAsia" w:ascii="宋体" w:hAnsi="宋体" w:eastAsia="宋体" w:cs="宋体"/>
                <w:color w:val="000000"/>
                <w:sz w:val="24"/>
                <w:szCs w:val="24"/>
              </w:rPr>
            </w:pPr>
          </w:p>
        </w:tc>
        <w:tc>
          <w:tcPr>
            <w:tcW w:w="1426" w:type="dxa"/>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第4学期</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767"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8" w:type="dxa"/>
            <w:vAlign w:val="center"/>
          </w:tcPr>
          <w:p>
            <w:pPr>
              <w:spacing w:line="324" w:lineRule="auto"/>
              <w:ind w:firstLine="36" w:firstLineChars="15"/>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25" w:type="dxa"/>
            <w:vAlign w:val="center"/>
          </w:tcPr>
          <w:p>
            <w:pPr>
              <w:spacing w:line="324" w:lineRule="auto"/>
              <w:ind w:firstLine="45" w:firstLineChars="19"/>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restart"/>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三</w:t>
            </w:r>
          </w:p>
        </w:tc>
        <w:tc>
          <w:tcPr>
            <w:tcW w:w="1426" w:type="dxa"/>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第5学期</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767"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 </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8" w:type="dxa"/>
            <w:vAlign w:val="center"/>
          </w:tcPr>
          <w:p>
            <w:pPr>
              <w:spacing w:line="324" w:lineRule="auto"/>
              <w:ind w:firstLine="36" w:firstLineChars="15"/>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25" w:type="dxa"/>
            <w:vAlign w:val="center"/>
          </w:tcPr>
          <w:p>
            <w:pPr>
              <w:spacing w:line="324" w:lineRule="auto"/>
              <w:ind w:firstLine="45" w:firstLineChars="19"/>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dxa"/>
            <w:vMerge w:val="continue"/>
            <w:vAlign w:val="center"/>
          </w:tcPr>
          <w:p>
            <w:pPr>
              <w:spacing w:line="324" w:lineRule="auto"/>
              <w:jc w:val="center"/>
              <w:rPr>
                <w:rFonts w:hint="eastAsia" w:ascii="宋体" w:hAnsi="宋体" w:eastAsia="宋体" w:cs="宋体"/>
                <w:color w:val="000000"/>
                <w:sz w:val="24"/>
                <w:szCs w:val="24"/>
              </w:rPr>
            </w:pPr>
          </w:p>
        </w:tc>
        <w:tc>
          <w:tcPr>
            <w:tcW w:w="1426" w:type="dxa"/>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第6学期</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0</w:t>
            </w:r>
          </w:p>
        </w:tc>
        <w:tc>
          <w:tcPr>
            <w:tcW w:w="767"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0</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0</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68" w:type="dxa"/>
            <w:vAlign w:val="center"/>
          </w:tcPr>
          <w:p>
            <w:pPr>
              <w:spacing w:line="324" w:lineRule="auto"/>
              <w:ind w:firstLine="36" w:firstLineChars="15"/>
              <w:jc w:val="center"/>
              <w:rPr>
                <w:rFonts w:hint="eastAsia" w:ascii="宋体" w:hAnsi="宋体" w:eastAsia="宋体" w:cs="宋体"/>
                <w:color w:val="000000"/>
                <w:sz w:val="24"/>
                <w:szCs w:val="24"/>
              </w:rPr>
            </w:pPr>
          </w:p>
        </w:tc>
        <w:tc>
          <w:tcPr>
            <w:tcW w:w="925" w:type="dxa"/>
            <w:vAlign w:val="center"/>
          </w:tcPr>
          <w:p>
            <w:pPr>
              <w:spacing w:line="324" w:lineRule="auto"/>
              <w:ind w:firstLine="45" w:firstLineChars="19"/>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97" w:type="dxa"/>
            <w:gridSpan w:val="2"/>
            <w:vAlign w:val="center"/>
          </w:tcPr>
          <w:p>
            <w:pPr>
              <w:spacing w:line="324"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合计</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 </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72</w:t>
            </w:r>
          </w:p>
        </w:tc>
        <w:tc>
          <w:tcPr>
            <w:tcW w:w="767"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768"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69" w:type="dxa"/>
            <w:vAlign w:val="center"/>
          </w:tcPr>
          <w:p>
            <w:pPr>
              <w:spacing w:line="324" w:lineRule="auto"/>
              <w:ind w:firstLine="62" w:firstLineChars="26"/>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68" w:type="dxa"/>
            <w:vAlign w:val="center"/>
          </w:tcPr>
          <w:p>
            <w:pPr>
              <w:spacing w:line="324" w:lineRule="auto"/>
              <w:ind w:firstLine="36" w:firstLineChars="15"/>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925" w:type="dxa"/>
            <w:vAlign w:val="center"/>
          </w:tcPr>
          <w:p>
            <w:pPr>
              <w:spacing w:line="324" w:lineRule="auto"/>
              <w:ind w:firstLine="45" w:firstLineChars="19"/>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119</w:t>
            </w:r>
          </w:p>
        </w:tc>
      </w:tr>
    </w:tbl>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注：各学期总周数以及时序课程教学周数在《教学执行计划表》中可根据校历和实际情况调整。</w:t>
      </w:r>
    </w:p>
    <w:p>
      <w:pPr>
        <w:adjustRightInd w:val="0"/>
        <w:snapToGrid w:val="0"/>
        <w:spacing w:beforeLines="50" w:line="360" w:lineRule="auto"/>
        <w:rPr>
          <w:rFonts w:ascii="黑体" w:hAnsi="黑体" w:eastAsia="黑体"/>
          <w:color w:val="FF0000"/>
          <w:sz w:val="24"/>
          <w:szCs w:val="24"/>
          <w:highlight w:val="yellow"/>
        </w:rPr>
      </w:pPr>
    </w:p>
    <w:sectPr>
      <w:headerReference r:id="rId4" w:type="first"/>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1"/>
    <w:family w:val="roman"/>
    <w:pitch w:val="default"/>
    <w:sig w:usb0="E00002FF" w:usb1="42002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CA877"/>
    <w:multiLevelType w:val="singleLevel"/>
    <w:tmpl w:val="273CA877"/>
    <w:lvl w:ilvl="0" w:tentative="0">
      <w:start w:val="2"/>
      <w:numFmt w:val="chineseCounting"/>
      <w:suff w:val="nothing"/>
      <w:lvlText w:val="%1、"/>
      <w:lvlJc w:val="left"/>
      <w:rPr>
        <w:rFonts w:hint="eastAsia"/>
      </w:rPr>
    </w:lvl>
  </w:abstractNum>
  <w:abstractNum w:abstractNumId="1">
    <w:nsid w:val="3EFDD0A9"/>
    <w:multiLevelType w:val="singleLevel"/>
    <w:tmpl w:val="3EFDD0A9"/>
    <w:lvl w:ilvl="0" w:tentative="0">
      <w:start w:val="1"/>
      <w:numFmt w:val="decimalEnclosedCircleChinese"/>
      <w:suff w:val="nothing"/>
      <w:lvlText w:val="%1　"/>
      <w:lvlJc w:val="left"/>
      <w:pPr>
        <w:ind w:firstLine="400"/>
      </w:pPr>
      <w:rPr>
        <w:rFonts w:hint="eastAsia" w:cs="Times New Roman"/>
      </w:rPr>
    </w:lvl>
  </w:abstractNum>
  <w:abstractNum w:abstractNumId="2">
    <w:nsid w:val="5DB54173"/>
    <w:multiLevelType w:val="multilevel"/>
    <w:tmpl w:val="5DB54173"/>
    <w:lvl w:ilvl="0" w:tentative="0">
      <w:start w:val="1"/>
      <w:numFmt w:val="decimal"/>
      <w:lvlText w:val="%1."/>
      <w:lvlJc w:val="left"/>
      <w:pPr>
        <w:ind w:left="960" w:hanging="36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abstractNum w:abstractNumId="3">
    <w:nsid w:val="5F8F35BB"/>
    <w:multiLevelType w:val="multilevel"/>
    <w:tmpl w:val="5F8F35BB"/>
    <w:lvl w:ilvl="0" w:tentative="0">
      <w:start w:val="1"/>
      <w:numFmt w:val="japaneseCounting"/>
      <w:lvlText w:val="（%1）"/>
      <w:lvlJc w:val="left"/>
      <w:pPr>
        <w:ind w:left="1200" w:hanging="720"/>
      </w:pPr>
      <w:rPr>
        <w:rFonts w:hint="default" w:ascii="仿宋_GB2312" w:hAnsi="仿宋" w:eastAsia="仿宋_GB2312"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
    <w:nsid w:val="6F556CB5"/>
    <w:multiLevelType w:val="multilevel"/>
    <w:tmpl w:val="6F556CB5"/>
    <w:lvl w:ilvl="0" w:tentative="0">
      <w:start w:val="1"/>
      <w:numFmt w:val="decimal"/>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0"/>
    <w:rsid w:val="00016851"/>
    <w:rsid w:val="00033487"/>
    <w:rsid w:val="00053617"/>
    <w:rsid w:val="000571B6"/>
    <w:rsid w:val="00061594"/>
    <w:rsid w:val="000962FC"/>
    <w:rsid w:val="000963A1"/>
    <w:rsid w:val="00097A37"/>
    <w:rsid w:val="000A5AEE"/>
    <w:rsid w:val="000A7C8D"/>
    <w:rsid w:val="000F17EC"/>
    <w:rsid w:val="00124C93"/>
    <w:rsid w:val="001440B2"/>
    <w:rsid w:val="001451A8"/>
    <w:rsid w:val="0015195A"/>
    <w:rsid w:val="001735F2"/>
    <w:rsid w:val="00184489"/>
    <w:rsid w:val="00197FE0"/>
    <w:rsid w:val="001A441A"/>
    <w:rsid w:val="001A48FE"/>
    <w:rsid w:val="001A72EB"/>
    <w:rsid w:val="001B2F53"/>
    <w:rsid w:val="001B3CD5"/>
    <w:rsid w:val="001B43BA"/>
    <w:rsid w:val="001C033F"/>
    <w:rsid w:val="001C1D2F"/>
    <w:rsid w:val="001C4846"/>
    <w:rsid w:val="001D7494"/>
    <w:rsid w:val="00250125"/>
    <w:rsid w:val="002819FF"/>
    <w:rsid w:val="002C2711"/>
    <w:rsid w:val="0031588B"/>
    <w:rsid w:val="00315C96"/>
    <w:rsid w:val="00322A03"/>
    <w:rsid w:val="00334154"/>
    <w:rsid w:val="00335676"/>
    <w:rsid w:val="00345567"/>
    <w:rsid w:val="0036167D"/>
    <w:rsid w:val="0037624E"/>
    <w:rsid w:val="003809A2"/>
    <w:rsid w:val="003A6C2D"/>
    <w:rsid w:val="003B24DE"/>
    <w:rsid w:val="003B7024"/>
    <w:rsid w:val="003C54C6"/>
    <w:rsid w:val="003D3FED"/>
    <w:rsid w:val="003E3C4B"/>
    <w:rsid w:val="003F1CFF"/>
    <w:rsid w:val="00402A2C"/>
    <w:rsid w:val="00403F96"/>
    <w:rsid w:val="004306EB"/>
    <w:rsid w:val="00444124"/>
    <w:rsid w:val="00446C8A"/>
    <w:rsid w:val="00462032"/>
    <w:rsid w:val="004635D3"/>
    <w:rsid w:val="00482EBF"/>
    <w:rsid w:val="00487C0D"/>
    <w:rsid w:val="004945CD"/>
    <w:rsid w:val="004B4FB7"/>
    <w:rsid w:val="004C0754"/>
    <w:rsid w:val="004C64AD"/>
    <w:rsid w:val="004D47A0"/>
    <w:rsid w:val="005130C6"/>
    <w:rsid w:val="00516118"/>
    <w:rsid w:val="00516DF9"/>
    <w:rsid w:val="005313D6"/>
    <w:rsid w:val="00563F59"/>
    <w:rsid w:val="00595B3E"/>
    <w:rsid w:val="00595BFB"/>
    <w:rsid w:val="005B22FB"/>
    <w:rsid w:val="005C5656"/>
    <w:rsid w:val="005D0589"/>
    <w:rsid w:val="005D14F0"/>
    <w:rsid w:val="005D778C"/>
    <w:rsid w:val="005D7928"/>
    <w:rsid w:val="00606C6F"/>
    <w:rsid w:val="006209B9"/>
    <w:rsid w:val="00652139"/>
    <w:rsid w:val="0066419C"/>
    <w:rsid w:val="006823C9"/>
    <w:rsid w:val="006A27C4"/>
    <w:rsid w:val="006D0698"/>
    <w:rsid w:val="0071080C"/>
    <w:rsid w:val="00712A11"/>
    <w:rsid w:val="00722312"/>
    <w:rsid w:val="00726712"/>
    <w:rsid w:val="007409A6"/>
    <w:rsid w:val="007415BE"/>
    <w:rsid w:val="00741F80"/>
    <w:rsid w:val="00755CA7"/>
    <w:rsid w:val="00756E5E"/>
    <w:rsid w:val="00780DD1"/>
    <w:rsid w:val="007971A0"/>
    <w:rsid w:val="007C3B1F"/>
    <w:rsid w:val="007D6AB0"/>
    <w:rsid w:val="007F259E"/>
    <w:rsid w:val="008741E9"/>
    <w:rsid w:val="00895550"/>
    <w:rsid w:val="008A6711"/>
    <w:rsid w:val="008E5B2A"/>
    <w:rsid w:val="008F4C76"/>
    <w:rsid w:val="00900520"/>
    <w:rsid w:val="009070AF"/>
    <w:rsid w:val="00911AB1"/>
    <w:rsid w:val="00917478"/>
    <w:rsid w:val="009347B6"/>
    <w:rsid w:val="00961895"/>
    <w:rsid w:val="00963C05"/>
    <w:rsid w:val="00967BE7"/>
    <w:rsid w:val="009759FD"/>
    <w:rsid w:val="00976EFE"/>
    <w:rsid w:val="009D39B9"/>
    <w:rsid w:val="009E30C3"/>
    <w:rsid w:val="009F287D"/>
    <w:rsid w:val="009F65E3"/>
    <w:rsid w:val="00A25B72"/>
    <w:rsid w:val="00A26817"/>
    <w:rsid w:val="00A270F4"/>
    <w:rsid w:val="00A428C2"/>
    <w:rsid w:val="00A63120"/>
    <w:rsid w:val="00A631AA"/>
    <w:rsid w:val="00A8660D"/>
    <w:rsid w:val="00AB7EED"/>
    <w:rsid w:val="00AC71D7"/>
    <w:rsid w:val="00AE3A24"/>
    <w:rsid w:val="00AF200A"/>
    <w:rsid w:val="00B031AA"/>
    <w:rsid w:val="00B108F7"/>
    <w:rsid w:val="00B16631"/>
    <w:rsid w:val="00B16F96"/>
    <w:rsid w:val="00B27C90"/>
    <w:rsid w:val="00B3662E"/>
    <w:rsid w:val="00B43481"/>
    <w:rsid w:val="00B80707"/>
    <w:rsid w:val="00B80723"/>
    <w:rsid w:val="00B83829"/>
    <w:rsid w:val="00B858CA"/>
    <w:rsid w:val="00B85AD5"/>
    <w:rsid w:val="00B96CEB"/>
    <w:rsid w:val="00BC42CD"/>
    <w:rsid w:val="00BD16B7"/>
    <w:rsid w:val="00BD4008"/>
    <w:rsid w:val="00BF47D1"/>
    <w:rsid w:val="00C125D6"/>
    <w:rsid w:val="00C20780"/>
    <w:rsid w:val="00C520A2"/>
    <w:rsid w:val="00C9266F"/>
    <w:rsid w:val="00CA3BBE"/>
    <w:rsid w:val="00CA3EB1"/>
    <w:rsid w:val="00CA6B38"/>
    <w:rsid w:val="00CB2C14"/>
    <w:rsid w:val="00CE697C"/>
    <w:rsid w:val="00CF325C"/>
    <w:rsid w:val="00CF5E83"/>
    <w:rsid w:val="00D045CA"/>
    <w:rsid w:val="00D0651A"/>
    <w:rsid w:val="00D14655"/>
    <w:rsid w:val="00D30887"/>
    <w:rsid w:val="00D344B7"/>
    <w:rsid w:val="00D4030B"/>
    <w:rsid w:val="00D63DB0"/>
    <w:rsid w:val="00DA09D7"/>
    <w:rsid w:val="00DA2699"/>
    <w:rsid w:val="00DB0815"/>
    <w:rsid w:val="00DB2FB1"/>
    <w:rsid w:val="00DB38AC"/>
    <w:rsid w:val="00DB74BC"/>
    <w:rsid w:val="00DC066F"/>
    <w:rsid w:val="00DC53E8"/>
    <w:rsid w:val="00DE132D"/>
    <w:rsid w:val="00DF79B3"/>
    <w:rsid w:val="00E020F9"/>
    <w:rsid w:val="00E02FDF"/>
    <w:rsid w:val="00E21FCC"/>
    <w:rsid w:val="00E43DA2"/>
    <w:rsid w:val="00E52997"/>
    <w:rsid w:val="00E72145"/>
    <w:rsid w:val="00E757DB"/>
    <w:rsid w:val="00E845FF"/>
    <w:rsid w:val="00EA0E49"/>
    <w:rsid w:val="00EB7118"/>
    <w:rsid w:val="00EC0EC1"/>
    <w:rsid w:val="00ED6D02"/>
    <w:rsid w:val="00EE3192"/>
    <w:rsid w:val="00EE611F"/>
    <w:rsid w:val="00EF3006"/>
    <w:rsid w:val="00EF3442"/>
    <w:rsid w:val="00F2340F"/>
    <w:rsid w:val="00F242F5"/>
    <w:rsid w:val="00F33542"/>
    <w:rsid w:val="00F412A6"/>
    <w:rsid w:val="00F673C3"/>
    <w:rsid w:val="00F7120B"/>
    <w:rsid w:val="00F8144A"/>
    <w:rsid w:val="00FA3D3C"/>
    <w:rsid w:val="00FC70D6"/>
    <w:rsid w:val="00FD3B8B"/>
    <w:rsid w:val="00FD6CBE"/>
    <w:rsid w:val="00FE79B6"/>
    <w:rsid w:val="00FF617C"/>
    <w:rsid w:val="012B657A"/>
    <w:rsid w:val="01B3624B"/>
    <w:rsid w:val="04395310"/>
    <w:rsid w:val="043D060B"/>
    <w:rsid w:val="049C4417"/>
    <w:rsid w:val="057E270B"/>
    <w:rsid w:val="0C99780C"/>
    <w:rsid w:val="0D840210"/>
    <w:rsid w:val="0DB5411C"/>
    <w:rsid w:val="10CE79A6"/>
    <w:rsid w:val="13561670"/>
    <w:rsid w:val="16B4108F"/>
    <w:rsid w:val="16CB15D6"/>
    <w:rsid w:val="1AFD4885"/>
    <w:rsid w:val="1B833E03"/>
    <w:rsid w:val="1DEA13BF"/>
    <w:rsid w:val="23E30738"/>
    <w:rsid w:val="262F650C"/>
    <w:rsid w:val="28F9132E"/>
    <w:rsid w:val="290A13C8"/>
    <w:rsid w:val="2ABA6BD0"/>
    <w:rsid w:val="2BD17164"/>
    <w:rsid w:val="2CAF327A"/>
    <w:rsid w:val="346A4855"/>
    <w:rsid w:val="35EF31A5"/>
    <w:rsid w:val="36DC3AD0"/>
    <w:rsid w:val="38B0321C"/>
    <w:rsid w:val="3D7422C6"/>
    <w:rsid w:val="3DC10EE9"/>
    <w:rsid w:val="3EB37A62"/>
    <w:rsid w:val="3F105EEE"/>
    <w:rsid w:val="40DF1472"/>
    <w:rsid w:val="43D34A8D"/>
    <w:rsid w:val="44C01B5A"/>
    <w:rsid w:val="44F019A1"/>
    <w:rsid w:val="47702958"/>
    <w:rsid w:val="4809164C"/>
    <w:rsid w:val="4A265AB9"/>
    <w:rsid w:val="4AD264C8"/>
    <w:rsid w:val="4D061DE3"/>
    <w:rsid w:val="4DC31340"/>
    <w:rsid w:val="4E4802FA"/>
    <w:rsid w:val="4E9F5495"/>
    <w:rsid w:val="4EB05B0A"/>
    <w:rsid w:val="51172E84"/>
    <w:rsid w:val="51FE07BE"/>
    <w:rsid w:val="54A26EC0"/>
    <w:rsid w:val="553C1FD7"/>
    <w:rsid w:val="56C00C53"/>
    <w:rsid w:val="57273B52"/>
    <w:rsid w:val="575E4E8A"/>
    <w:rsid w:val="5A323147"/>
    <w:rsid w:val="5A5A70D0"/>
    <w:rsid w:val="5C2F458B"/>
    <w:rsid w:val="5CC91192"/>
    <w:rsid w:val="5D283DB7"/>
    <w:rsid w:val="5D6C18BA"/>
    <w:rsid w:val="5D92585C"/>
    <w:rsid w:val="5E2D3CC4"/>
    <w:rsid w:val="5F2E2D22"/>
    <w:rsid w:val="609B4D51"/>
    <w:rsid w:val="60B134A3"/>
    <w:rsid w:val="60E106AB"/>
    <w:rsid w:val="619369A3"/>
    <w:rsid w:val="661B6AAD"/>
    <w:rsid w:val="693101FA"/>
    <w:rsid w:val="6A1C0265"/>
    <w:rsid w:val="6BB0277E"/>
    <w:rsid w:val="6E3D583B"/>
    <w:rsid w:val="6EBA7DD7"/>
    <w:rsid w:val="6F3263A6"/>
    <w:rsid w:val="72E979B1"/>
    <w:rsid w:val="73612597"/>
    <w:rsid w:val="750F5A33"/>
    <w:rsid w:val="765D7896"/>
    <w:rsid w:val="76DF78D4"/>
    <w:rsid w:val="78D412E8"/>
    <w:rsid w:val="79381409"/>
    <w:rsid w:val="7FB605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99"/>
    <w:pPr>
      <w:jc w:val="left"/>
    </w:pPr>
  </w:style>
  <w:style w:type="paragraph" w:styleId="3">
    <w:name w:val="Date"/>
    <w:basedOn w:val="1"/>
    <w:next w:val="1"/>
    <w:link w:val="17"/>
    <w:qFormat/>
    <w:uiPriority w:val="99"/>
    <w:pPr>
      <w:ind w:left="100" w:leftChars="2500"/>
    </w:pPr>
  </w:style>
  <w:style w:type="paragraph" w:styleId="4">
    <w:name w:val="Balloon Text"/>
    <w:basedOn w:val="1"/>
    <w:link w:val="18"/>
    <w:qFormat/>
    <w:uiPriority w:val="99"/>
    <w:rPr>
      <w:rFonts w:ascii="Times New Roman" w:hAnsi="Times New Roman"/>
      <w:kern w:val="0"/>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1"/>
    <w:qFormat/>
    <w:uiPriority w:val="99"/>
    <w:pPr>
      <w:spacing w:before="240" w:after="60" w:line="312" w:lineRule="auto"/>
      <w:jc w:val="center"/>
      <w:outlineLvl w:val="1"/>
    </w:pPr>
    <w:rPr>
      <w:rFonts w:ascii="Calibri Light" w:hAnsi="Calibri Light"/>
      <w:b/>
      <w:bCs/>
      <w:kern w:val="28"/>
      <w:sz w:val="32"/>
      <w:szCs w:val="32"/>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2"/>
    <w:next w:val="2"/>
    <w:link w:val="22"/>
    <w:qFormat/>
    <w:uiPriority w:val="99"/>
    <w:rPr>
      <w:rFonts w:ascii="Times New Roman" w:hAnsi="Times New Roman"/>
      <w:b/>
      <w:bCs/>
      <w:kern w:val="0"/>
      <w:sz w:val="20"/>
      <w:szCs w:val="20"/>
    </w:rPr>
  </w:style>
  <w:style w:type="table" w:styleId="11">
    <w:name w:val="Table Grid"/>
    <w:basedOn w:val="10"/>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Hyperlink"/>
    <w:basedOn w:val="12"/>
    <w:qFormat/>
    <w:locked/>
    <w:uiPriority w:val="99"/>
    <w:rPr>
      <w:rFonts w:cs="Times New Roman"/>
      <w:color w:val="0000FF"/>
      <w:u w:val="single"/>
    </w:rPr>
  </w:style>
  <w:style w:type="character" w:styleId="15">
    <w:name w:val="annotation reference"/>
    <w:basedOn w:val="12"/>
    <w:qFormat/>
    <w:uiPriority w:val="99"/>
    <w:rPr>
      <w:rFonts w:cs="Times New Roman"/>
      <w:sz w:val="21"/>
    </w:rPr>
  </w:style>
  <w:style w:type="character" w:customStyle="1" w:styleId="16">
    <w:name w:val="Comment Text Char"/>
    <w:basedOn w:val="12"/>
    <w:link w:val="2"/>
    <w:qFormat/>
    <w:locked/>
    <w:uiPriority w:val="99"/>
    <w:rPr>
      <w:rFonts w:ascii="Calibri" w:hAnsi="Calibri" w:eastAsia="宋体" w:cs="Times New Roman"/>
    </w:rPr>
  </w:style>
  <w:style w:type="character" w:customStyle="1" w:styleId="17">
    <w:name w:val="Date Char"/>
    <w:basedOn w:val="12"/>
    <w:link w:val="3"/>
    <w:qFormat/>
    <w:locked/>
    <w:uiPriority w:val="99"/>
    <w:rPr>
      <w:rFonts w:cs="Times New Roman"/>
    </w:rPr>
  </w:style>
  <w:style w:type="character" w:customStyle="1" w:styleId="18">
    <w:name w:val="Balloon Text Char"/>
    <w:basedOn w:val="12"/>
    <w:link w:val="4"/>
    <w:qFormat/>
    <w:locked/>
    <w:uiPriority w:val="99"/>
    <w:rPr>
      <w:rFonts w:cs="Times New Roman"/>
      <w:sz w:val="18"/>
    </w:rPr>
  </w:style>
  <w:style w:type="character" w:customStyle="1" w:styleId="19">
    <w:name w:val="Footer Char"/>
    <w:basedOn w:val="12"/>
    <w:link w:val="5"/>
    <w:qFormat/>
    <w:locked/>
    <w:uiPriority w:val="99"/>
    <w:rPr>
      <w:rFonts w:cs="Times New Roman"/>
      <w:sz w:val="18"/>
      <w:szCs w:val="18"/>
    </w:rPr>
  </w:style>
  <w:style w:type="character" w:customStyle="1" w:styleId="20">
    <w:name w:val="Header Char"/>
    <w:basedOn w:val="12"/>
    <w:link w:val="6"/>
    <w:qFormat/>
    <w:locked/>
    <w:uiPriority w:val="99"/>
    <w:rPr>
      <w:rFonts w:cs="Times New Roman"/>
      <w:sz w:val="18"/>
      <w:szCs w:val="18"/>
    </w:rPr>
  </w:style>
  <w:style w:type="character" w:customStyle="1" w:styleId="21">
    <w:name w:val="Subtitle Char"/>
    <w:basedOn w:val="12"/>
    <w:link w:val="7"/>
    <w:qFormat/>
    <w:locked/>
    <w:uiPriority w:val="99"/>
    <w:rPr>
      <w:rFonts w:ascii="Calibri Light" w:hAnsi="Calibri Light" w:cs="Times New Roman"/>
      <w:b/>
      <w:kern w:val="28"/>
      <w:sz w:val="32"/>
    </w:rPr>
  </w:style>
  <w:style w:type="character" w:customStyle="1" w:styleId="22">
    <w:name w:val="Comment Subject Char"/>
    <w:basedOn w:val="16"/>
    <w:link w:val="9"/>
    <w:qFormat/>
    <w:locked/>
    <w:uiPriority w:val="99"/>
    <w:rPr>
      <w:b/>
    </w:rPr>
  </w:style>
  <w:style w:type="character" w:customStyle="1" w:styleId="23">
    <w:name w:val="批注文字 Char"/>
    <w:semiHidden/>
    <w:qFormat/>
    <w:uiPriority w:val="99"/>
    <w:rPr>
      <w:kern w:val="2"/>
      <w:sz w:val="22"/>
    </w:rPr>
  </w:style>
  <w:style w:type="character" w:customStyle="1" w:styleId="24">
    <w:name w:val="批注框文本 Char1"/>
    <w:basedOn w:val="12"/>
    <w:semiHidden/>
    <w:qFormat/>
    <w:uiPriority w:val="99"/>
    <w:rPr>
      <w:rFonts w:ascii="Calibri" w:hAnsi="Calibri" w:eastAsia="宋体" w:cs="Times New Roman"/>
      <w:sz w:val="18"/>
      <w:szCs w:val="18"/>
    </w:rPr>
  </w:style>
  <w:style w:type="character" w:customStyle="1" w:styleId="25">
    <w:name w:val="批注主题 Char1"/>
    <w:basedOn w:val="16"/>
    <w:semiHidden/>
    <w:qFormat/>
    <w:uiPriority w:val="99"/>
    <w:rPr>
      <w:b/>
      <w:bCs/>
    </w:rPr>
  </w:style>
  <w:style w:type="character" w:customStyle="1" w:styleId="26">
    <w:name w:val="页眉 Char1"/>
    <w:basedOn w:val="12"/>
    <w:semiHidden/>
    <w:qFormat/>
    <w:uiPriority w:val="99"/>
    <w:rPr>
      <w:rFonts w:cs="Times New Roman"/>
      <w:kern w:val="2"/>
      <w:sz w:val="18"/>
      <w:szCs w:val="18"/>
    </w:rPr>
  </w:style>
  <w:style w:type="character" w:customStyle="1" w:styleId="27">
    <w:name w:val="副标题 Char1"/>
    <w:basedOn w:val="12"/>
    <w:qFormat/>
    <w:uiPriority w:val="99"/>
    <w:rPr>
      <w:rFonts w:ascii="Calibri Light" w:hAnsi="Calibri Light" w:eastAsia="宋体" w:cs="Times New Roman"/>
      <w:b/>
      <w:bCs/>
      <w:kern w:val="28"/>
      <w:sz w:val="32"/>
      <w:szCs w:val="32"/>
    </w:rPr>
  </w:style>
  <w:style w:type="character" w:customStyle="1" w:styleId="28">
    <w:name w:val="页脚 Char1"/>
    <w:basedOn w:val="12"/>
    <w:semiHidden/>
    <w:qFormat/>
    <w:uiPriority w:val="99"/>
    <w:rPr>
      <w:rFonts w:cs="Times New Roman"/>
      <w:kern w:val="2"/>
      <w:sz w:val="18"/>
      <w:szCs w:val="18"/>
    </w:rPr>
  </w:style>
  <w:style w:type="character" w:customStyle="1" w:styleId="29">
    <w:name w:val="日期 Char1"/>
    <w:basedOn w:val="12"/>
    <w:semiHidden/>
    <w:qFormat/>
    <w:uiPriority w:val="99"/>
    <w:rPr>
      <w:rFonts w:ascii="Calibri" w:hAnsi="Calibri" w:eastAsia="宋体" w:cs="Times New Roman"/>
    </w:rPr>
  </w:style>
  <w:style w:type="paragraph" w:styleId="30">
    <w:name w:val="List Paragraph"/>
    <w:basedOn w:val="1"/>
    <w:qFormat/>
    <w:uiPriority w:val="99"/>
    <w:pPr>
      <w:ind w:firstLine="420" w:firstLineChars="200"/>
    </w:pPr>
  </w:style>
  <w:style w:type="character" w:customStyle="1" w:styleId="31">
    <w:name w:val="bjh-p"/>
    <w:basedOn w:val="12"/>
    <w:qFormat/>
    <w:uiPriority w:val="99"/>
    <w:rPr>
      <w:rFonts w:cs="Times New Roman"/>
    </w:rPr>
  </w:style>
  <w:style w:type="character" w:customStyle="1" w:styleId="32">
    <w:name w:val="zq表内正文居中 Char"/>
    <w:link w:val="33"/>
    <w:qFormat/>
    <w:locked/>
    <w:uiPriority w:val="99"/>
    <w:rPr>
      <w:kern w:val="2"/>
      <w:sz w:val="21"/>
    </w:rPr>
  </w:style>
  <w:style w:type="paragraph" w:customStyle="1" w:styleId="33">
    <w:name w:val="zq表内正文居中"/>
    <w:basedOn w:val="1"/>
    <w:link w:val="32"/>
    <w:qFormat/>
    <w:uiPriority w:val="99"/>
    <w:pPr>
      <w:widowControl/>
      <w:spacing w:before="60" w:after="60" w:line="260" w:lineRule="exact"/>
      <w:jc w:val="center"/>
    </w:pPr>
    <w:rPr>
      <w:rFonts w:ascii="Times New Roman" w:hAnsi="Times New Roman"/>
      <w:szCs w:val="20"/>
    </w:rPr>
  </w:style>
  <w:style w:type="character" w:customStyle="1" w:styleId="34">
    <w:name w:val="zq表内文字居左 Char Char"/>
    <w:link w:val="35"/>
    <w:qFormat/>
    <w:locked/>
    <w:uiPriority w:val="99"/>
    <w:rPr>
      <w:kern w:val="2"/>
      <w:sz w:val="24"/>
    </w:rPr>
  </w:style>
  <w:style w:type="paragraph" w:customStyle="1" w:styleId="35">
    <w:name w:val="zq表内文字居左"/>
    <w:basedOn w:val="1"/>
    <w:link w:val="34"/>
    <w:qFormat/>
    <w:uiPriority w:val="99"/>
    <w:pPr>
      <w:spacing w:before="60" w:after="60" w:line="260" w:lineRule="exact"/>
    </w:pPr>
    <w:rPr>
      <w:rFonts w:ascii="Times New Roman" w:hAnsi="Times New Roman"/>
      <w:sz w:val="24"/>
      <w:szCs w:val="20"/>
    </w:rPr>
  </w:style>
  <w:style w:type="character" w:customStyle="1" w:styleId="36">
    <w:name w:val="font11"/>
    <w:basedOn w:val="12"/>
    <w:qFormat/>
    <w:uiPriority w:val="99"/>
    <w:rPr>
      <w:rFonts w:ascii="宋体" w:hAnsi="宋体" w:eastAsia="宋体" w:cs="宋体"/>
      <w:color w:val="000000"/>
      <w:sz w:val="15"/>
      <w:szCs w:val="15"/>
      <w:u w:val="none"/>
    </w:rPr>
  </w:style>
  <w:style w:type="paragraph" w:customStyle="1" w:styleId="37">
    <w:name w:val="1.表内正文居中"/>
    <w:basedOn w:val="1"/>
    <w:link w:val="38"/>
    <w:qFormat/>
    <w:uiPriority w:val="99"/>
    <w:pPr>
      <w:snapToGrid w:val="0"/>
      <w:jc w:val="center"/>
    </w:pPr>
    <w:rPr>
      <w:rFonts w:ascii="宋体" w:hAnsi="宋体"/>
    </w:rPr>
  </w:style>
  <w:style w:type="character" w:customStyle="1" w:styleId="38">
    <w:name w:val="1.表内正文居中 Char"/>
    <w:basedOn w:val="12"/>
    <w:link w:val="37"/>
    <w:qFormat/>
    <w:locked/>
    <w:uiPriority w:val="99"/>
    <w:rPr>
      <w:rFonts w:ascii="宋体" w:hAnsi="宋体" w:eastAsia="宋体" w:cs="Times New Roman"/>
      <w:kern w:val="2"/>
      <w:sz w:val="22"/>
      <w:szCs w:val="22"/>
      <w:lang w:val="en-US" w:eastAsia="zh-CN" w:bidi="ar-SA"/>
    </w:rPr>
  </w:style>
  <w:style w:type="paragraph" w:customStyle="1" w:styleId="39">
    <w:name w:val="1.表内0.2段距"/>
    <w:basedOn w:val="1"/>
    <w:link w:val="40"/>
    <w:qFormat/>
    <w:uiPriority w:val="99"/>
    <w:pPr>
      <w:snapToGrid w:val="0"/>
      <w:spacing w:beforeLines="30" w:afterLines="30"/>
      <w:ind w:firstLine="200" w:firstLineChars="200"/>
      <w:jc w:val="left"/>
    </w:pPr>
    <w:rPr>
      <w:rFonts w:ascii="宋体" w:hAnsi="宋体"/>
    </w:rPr>
  </w:style>
  <w:style w:type="character" w:customStyle="1" w:styleId="40">
    <w:name w:val="1.表内0.2段距 Char"/>
    <w:basedOn w:val="12"/>
    <w:link w:val="39"/>
    <w:qFormat/>
    <w:locked/>
    <w:uiPriority w:val="99"/>
    <w:rPr>
      <w:rFonts w:ascii="宋体" w:hAnsi="宋体" w:eastAsia="宋体" w:cs="Times New Roman"/>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1730</Words>
  <Characters>9866</Characters>
  <Lines>0</Lines>
  <Paragraphs>0</Paragraphs>
  <TotalTime>49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2020-01-21T13:31:00Z</dcterms:created>
  <dc:creator>微软用户</dc:creator>
  <cp:lastModifiedBy>小鱼</cp:lastModifiedBy>
  <dcterms:modified xsi:type="dcterms:W3CDTF">2021-06-28T00:08:33Z</dcterms:modified>
  <dc:title>艺术设计专业（普招）人才培养方案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4E6C19EE04B34EBCAAC895CDA4DE1E5B</vt:lpwstr>
  </property>
  <property fmtid="{D5CDD505-2E9C-101B-9397-08002B2CF9AE}" pid="4" name="KSOSaveFontToCloudKey">
    <vt:lpwstr>667720015_btnclosed</vt:lpwstr>
  </property>
</Properties>
</file>